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D8C3C" w14:textId="147F2A09" w:rsidR="000C2887" w:rsidRPr="00BA1460" w:rsidRDefault="000C2887" w:rsidP="00BA1460">
      <w:pPr>
        <w:pStyle w:val="Naslov1"/>
        <w:rPr>
          <w:rFonts w:asciiTheme="minorHAnsi" w:hAnsiTheme="minorHAnsi" w:cstheme="minorHAnsi"/>
          <w:sz w:val="22"/>
        </w:rPr>
      </w:pPr>
      <w:r w:rsidRPr="00BA1460">
        <w:rPr>
          <w:rFonts w:asciiTheme="minorHAnsi" w:hAnsiTheme="minorHAnsi" w:cstheme="minorHAnsi"/>
          <w:sz w:val="22"/>
        </w:rPr>
        <w:t xml:space="preserve">PRAVILA TESTIRANJA </w:t>
      </w:r>
      <w:r w:rsidR="00014E7A">
        <w:rPr>
          <w:rFonts w:asciiTheme="minorHAnsi" w:hAnsiTheme="minorHAnsi" w:cstheme="minorHAnsi"/>
          <w:sz w:val="22"/>
        </w:rPr>
        <w:t xml:space="preserve">, </w:t>
      </w:r>
      <w:r w:rsidRPr="00BA1460">
        <w:rPr>
          <w:rFonts w:asciiTheme="minorHAnsi" w:hAnsiTheme="minorHAnsi" w:cstheme="minorHAnsi"/>
          <w:sz w:val="22"/>
        </w:rPr>
        <w:t xml:space="preserve">PRAVNI I DRUGI IZVORI  ZA PRIPREMANJE KANDIDATA ZA TESTIRANJE </w:t>
      </w:r>
      <w:r w:rsidR="00BA1460" w:rsidRPr="00BA1460">
        <w:rPr>
          <w:rFonts w:asciiTheme="minorHAnsi" w:hAnsiTheme="minorHAnsi" w:cstheme="minorHAnsi"/>
          <w:sz w:val="22"/>
        </w:rPr>
        <w:t>ZA RADNO MJESTO REFERENT-KOORDINATOR NA EU PROJEKTU</w:t>
      </w:r>
      <w:r w:rsidRPr="00BA1460">
        <w:rPr>
          <w:rFonts w:asciiTheme="minorHAnsi" w:hAnsiTheme="minorHAnsi" w:cstheme="minorHAnsi"/>
          <w:sz w:val="22"/>
        </w:rPr>
        <w:t xml:space="preserve"> </w:t>
      </w:r>
    </w:p>
    <w:p w14:paraId="3A79A8B2" w14:textId="77777777" w:rsidR="000C2887" w:rsidRPr="00BA1460" w:rsidRDefault="000C2887" w:rsidP="000C2887">
      <w:pPr>
        <w:tabs>
          <w:tab w:val="center" w:pos="1792"/>
        </w:tabs>
        <w:spacing w:after="83" w:line="256" w:lineRule="auto"/>
        <w:ind w:left="-15" w:right="0" w:firstLine="0"/>
        <w:jc w:val="left"/>
        <w:rPr>
          <w:rFonts w:asciiTheme="minorHAnsi" w:hAnsiTheme="minorHAnsi" w:cstheme="minorHAnsi"/>
          <w:sz w:val="22"/>
        </w:rPr>
      </w:pPr>
      <w:r w:rsidRPr="00BA1460">
        <w:rPr>
          <w:rFonts w:asciiTheme="minorHAnsi" w:hAnsiTheme="minorHAnsi" w:cstheme="minorHAnsi"/>
          <w:b/>
          <w:i/>
          <w:sz w:val="22"/>
        </w:rPr>
        <w:t xml:space="preserve">1. </w:t>
      </w:r>
      <w:r w:rsidRPr="00BA1460">
        <w:rPr>
          <w:rFonts w:asciiTheme="minorHAnsi" w:hAnsiTheme="minorHAnsi" w:cstheme="minorHAnsi"/>
          <w:b/>
          <w:i/>
          <w:sz w:val="22"/>
        </w:rPr>
        <w:tab/>
      </w:r>
      <w:r w:rsidRPr="00BA1460">
        <w:rPr>
          <w:rFonts w:asciiTheme="minorHAnsi" w:hAnsiTheme="minorHAnsi" w:cstheme="minorHAnsi"/>
          <w:b/>
          <w:i/>
          <w:sz w:val="22"/>
          <w:u w:val="single" w:color="000000"/>
        </w:rPr>
        <w:t>Pravila testiranja</w:t>
      </w:r>
      <w:r w:rsidRPr="00BA1460">
        <w:rPr>
          <w:rFonts w:asciiTheme="minorHAnsi" w:hAnsiTheme="minorHAnsi" w:cstheme="minorHAnsi"/>
          <w:b/>
          <w:i/>
          <w:sz w:val="22"/>
        </w:rPr>
        <w:t xml:space="preserve"> </w:t>
      </w:r>
    </w:p>
    <w:p w14:paraId="684998C4" w14:textId="4058840C" w:rsidR="000C2887" w:rsidRPr="00BA1460" w:rsidRDefault="000C2887" w:rsidP="000C2887">
      <w:pPr>
        <w:ind w:left="-5" w:right="0"/>
        <w:rPr>
          <w:rFonts w:asciiTheme="minorHAnsi" w:hAnsiTheme="minorHAnsi" w:cstheme="minorHAnsi"/>
          <w:sz w:val="22"/>
        </w:rPr>
      </w:pPr>
      <w:r w:rsidRPr="00BA1460">
        <w:rPr>
          <w:rFonts w:asciiTheme="minorHAnsi" w:hAnsiTheme="minorHAnsi" w:cstheme="minorHAnsi"/>
          <w:sz w:val="22"/>
        </w:rPr>
        <w:t xml:space="preserve">Prethodnoj provjeri znanja i sposobnosti mogu pristupiti samo kandidati koji ispunjavaju formalne uvjete iz </w:t>
      </w:r>
      <w:r w:rsidR="00F94FA9">
        <w:rPr>
          <w:rFonts w:asciiTheme="minorHAnsi" w:hAnsiTheme="minorHAnsi" w:cstheme="minorHAnsi"/>
          <w:sz w:val="22"/>
        </w:rPr>
        <w:t>oglasa</w:t>
      </w:r>
      <w:r w:rsidRPr="00BA1460">
        <w:rPr>
          <w:rFonts w:asciiTheme="minorHAnsi" w:hAnsiTheme="minorHAnsi" w:cstheme="minorHAnsi"/>
          <w:sz w:val="22"/>
        </w:rPr>
        <w:t xml:space="preserve">. Kandidat koji ne pristupi prethodnoj provjeri znanja i sposobnosti smatrat će se da je povukao prijavu na </w:t>
      </w:r>
      <w:r w:rsidR="00F94FA9">
        <w:rPr>
          <w:rFonts w:asciiTheme="minorHAnsi" w:hAnsiTheme="minorHAnsi" w:cstheme="minorHAnsi"/>
          <w:sz w:val="22"/>
        </w:rPr>
        <w:t>oglas</w:t>
      </w:r>
      <w:r w:rsidRPr="00BA1460">
        <w:rPr>
          <w:rFonts w:asciiTheme="minorHAnsi" w:hAnsiTheme="minorHAnsi" w:cstheme="minorHAnsi"/>
          <w:sz w:val="22"/>
        </w:rPr>
        <w:t xml:space="preserve"> i više se neće smatrati kandidatom. </w:t>
      </w:r>
    </w:p>
    <w:p w14:paraId="6A768AD1" w14:textId="77777777" w:rsidR="000C2887" w:rsidRPr="00BA1460" w:rsidRDefault="000C2887" w:rsidP="000C2887">
      <w:pPr>
        <w:spacing w:after="0" w:line="256" w:lineRule="auto"/>
        <w:ind w:left="0" w:right="0" w:firstLine="0"/>
        <w:jc w:val="left"/>
        <w:rPr>
          <w:rFonts w:asciiTheme="minorHAnsi" w:hAnsiTheme="minorHAnsi" w:cstheme="minorHAnsi"/>
          <w:sz w:val="22"/>
        </w:rPr>
      </w:pPr>
      <w:r w:rsidRPr="00BA1460">
        <w:rPr>
          <w:rFonts w:asciiTheme="minorHAnsi" w:hAnsiTheme="minorHAnsi" w:cstheme="minorHAnsi"/>
          <w:sz w:val="22"/>
        </w:rPr>
        <w:t xml:space="preserve"> </w:t>
      </w:r>
    </w:p>
    <w:p w14:paraId="60B8582E" w14:textId="77777777" w:rsidR="000C2887" w:rsidRPr="00BA1460" w:rsidRDefault="000C2887" w:rsidP="000C2887">
      <w:pPr>
        <w:ind w:left="-5" w:right="0"/>
        <w:rPr>
          <w:rFonts w:asciiTheme="minorHAnsi" w:hAnsiTheme="minorHAnsi" w:cstheme="minorHAnsi"/>
          <w:sz w:val="22"/>
        </w:rPr>
      </w:pPr>
      <w:r w:rsidRPr="00BA1460">
        <w:rPr>
          <w:rFonts w:asciiTheme="minorHAnsi" w:hAnsiTheme="minorHAnsi" w:cstheme="minorHAnsi"/>
          <w:sz w:val="22"/>
        </w:rPr>
        <w:t xml:space="preserve">Po dolasku na prethodnu provjeru od kandidata će se zatražiti predočenje odgovarajuće važeće identifikacijske isprave (osobne iskaznice, putovnice, vozačke dozvole ili drugog odgovarajućeg dokumenta na kojem se nalazi fotografija kandidata) na temelju koje se nedvojbeno može utvrditi identitet kandidata. Kandidati koji ne mogu dokazati identitet neće moći pristupiti pisanom testiranju. </w:t>
      </w:r>
    </w:p>
    <w:p w14:paraId="1B1BB7E7" w14:textId="77777777" w:rsidR="000C2887" w:rsidRPr="00BA1460" w:rsidRDefault="000C2887" w:rsidP="000C2887">
      <w:pPr>
        <w:spacing w:after="0" w:line="256" w:lineRule="auto"/>
        <w:ind w:left="905" w:right="0" w:firstLine="0"/>
        <w:jc w:val="left"/>
        <w:rPr>
          <w:rFonts w:asciiTheme="minorHAnsi" w:hAnsiTheme="minorHAnsi" w:cstheme="minorHAnsi"/>
          <w:sz w:val="22"/>
        </w:rPr>
      </w:pPr>
      <w:r w:rsidRPr="00BA1460">
        <w:rPr>
          <w:rFonts w:asciiTheme="minorHAnsi" w:hAnsiTheme="minorHAnsi" w:cstheme="minorHAnsi"/>
          <w:sz w:val="22"/>
        </w:rPr>
        <w:t xml:space="preserve"> </w:t>
      </w:r>
    </w:p>
    <w:p w14:paraId="49836C9D" w14:textId="5899BBDA" w:rsidR="000C2887" w:rsidRPr="00BA1460" w:rsidRDefault="000C2887" w:rsidP="00930B49">
      <w:pPr>
        <w:ind w:left="-5" w:right="0"/>
        <w:rPr>
          <w:rFonts w:asciiTheme="minorHAnsi" w:hAnsiTheme="minorHAnsi" w:cstheme="minorHAnsi"/>
          <w:sz w:val="22"/>
        </w:rPr>
      </w:pPr>
      <w:r w:rsidRPr="00BA1460">
        <w:rPr>
          <w:rFonts w:asciiTheme="minorHAnsi" w:hAnsiTheme="minorHAnsi" w:cstheme="minorHAnsi"/>
          <w:sz w:val="22"/>
        </w:rPr>
        <w:t xml:space="preserve">Po utvrđivanju identiteta, kandidatima će biti podijeljena pitanja za pisanu provjeru znanja (pisano testiranje). Pisano testiranje traje maksimalno 30 minuta. Kandidati su se dužni pridržavati utvrđenog vremena i rasporeda pisanog testiranja. </w:t>
      </w:r>
      <w:r w:rsidR="000F095A">
        <w:rPr>
          <w:rFonts w:asciiTheme="minorHAnsi" w:hAnsiTheme="minorHAnsi" w:cstheme="minorHAnsi"/>
          <w:sz w:val="22"/>
        </w:rPr>
        <w:t>Rezultati pisanog testiranja boduju se od 1 do 10 bodova.</w:t>
      </w:r>
      <w:r w:rsidRPr="00BA1460">
        <w:rPr>
          <w:rFonts w:asciiTheme="minorHAnsi" w:hAnsiTheme="minorHAnsi" w:cstheme="minorHAnsi"/>
          <w:sz w:val="22"/>
        </w:rPr>
        <w:t xml:space="preserve"> </w:t>
      </w:r>
    </w:p>
    <w:p w14:paraId="51EA9801" w14:textId="77777777" w:rsidR="000C2887" w:rsidRPr="00BA1460" w:rsidRDefault="000C2887" w:rsidP="000C2887">
      <w:pPr>
        <w:spacing w:after="7" w:line="276" w:lineRule="auto"/>
        <w:ind w:left="0" w:right="0" w:firstLine="0"/>
        <w:jc w:val="left"/>
        <w:rPr>
          <w:rFonts w:asciiTheme="minorHAnsi" w:hAnsiTheme="minorHAnsi" w:cstheme="minorHAnsi"/>
          <w:sz w:val="22"/>
        </w:rPr>
      </w:pPr>
      <w:r w:rsidRPr="00BA1460">
        <w:rPr>
          <w:rFonts w:asciiTheme="minorHAnsi" w:hAnsiTheme="minorHAnsi" w:cstheme="minorHAnsi"/>
          <w:b/>
          <w:sz w:val="22"/>
        </w:rPr>
        <w:t xml:space="preserve">Za vrijeme provjere znanja i sposobnosti u prostoriji u kojoj se obavlja pisano testiranje nije dopušteno: </w:t>
      </w:r>
    </w:p>
    <w:p w14:paraId="2FD63774" w14:textId="77777777" w:rsidR="000C2887" w:rsidRPr="00BA1460" w:rsidRDefault="000C2887" w:rsidP="000C2887">
      <w:pPr>
        <w:numPr>
          <w:ilvl w:val="0"/>
          <w:numId w:val="1"/>
        </w:numPr>
        <w:spacing w:after="15"/>
        <w:ind w:right="0" w:hanging="326"/>
        <w:jc w:val="left"/>
        <w:rPr>
          <w:rFonts w:asciiTheme="minorHAnsi" w:hAnsiTheme="minorHAnsi" w:cstheme="minorHAnsi"/>
          <w:sz w:val="22"/>
        </w:rPr>
      </w:pPr>
      <w:r w:rsidRPr="00BA1460">
        <w:rPr>
          <w:rFonts w:asciiTheme="minorHAnsi" w:hAnsiTheme="minorHAnsi" w:cstheme="minorHAnsi"/>
          <w:i/>
          <w:sz w:val="22"/>
        </w:rPr>
        <w:t xml:space="preserve">koristiti se bilo kakvom literaturom, odnosno bilješkama, </w:t>
      </w:r>
    </w:p>
    <w:p w14:paraId="481A35DB" w14:textId="77777777" w:rsidR="000C2887" w:rsidRPr="00BA1460" w:rsidRDefault="000C2887" w:rsidP="000C2887">
      <w:pPr>
        <w:numPr>
          <w:ilvl w:val="0"/>
          <w:numId w:val="1"/>
        </w:numPr>
        <w:spacing w:after="15"/>
        <w:ind w:right="0" w:hanging="326"/>
        <w:jc w:val="left"/>
        <w:rPr>
          <w:rFonts w:asciiTheme="minorHAnsi" w:hAnsiTheme="minorHAnsi" w:cstheme="minorHAnsi"/>
          <w:sz w:val="22"/>
        </w:rPr>
      </w:pPr>
      <w:r w:rsidRPr="00BA1460">
        <w:rPr>
          <w:rFonts w:asciiTheme="minorHAnsi" w:hAnsiTheme="minorHAnsi" w:cstheme="minorHAnsi"/>
          <w:i/>
          <w:sz w:val="22"/>
        </w:rPr>
        <w:t xml:space="preserve">koristiti mobitel ili druga komunikacijska sredstva, </w:t>
      </w:r>
    </w:p>
    <w:p w14:paraId="3090EECC" w14:textId="77777777" w:rsidR="000C2887" w:rsidRPr="00BA1460" w:rsidRDefault="000C2887" w:rsidP="000C2887">
      <w:pPr>
        <w:numPr>
          <w:ilvl w:val="0"/>
          <w:numId w:val="1"/>
        </w:numPr>
        <w:spacing w:after="15"/>
        <w:ind w:right="0" w:hanging="326"/>
        <w:jc w:val="left"/>
        <w:rPr>
          <w:rFonts w:asciiTheme="minorHAnsi" w:hAnsiTheme="minorHAnsi" w:cstheme="minorHAnsi"/>
          <w:sz w:val="22"/>
        </w:rPr>
      </w:pPr>
      <w:r w:rsidRPr="00BA1460">
        <w:rPr>
          <w:rFonts w:asciiTheme="minorHAnsi" w:hAnsiTheme="minorHAnsi" w:cstheme="minorHAnsi"/>
          <w:i/>
          <w:sz w:val="22"/>
        </w:rPr>
        <w:t xml:space="preserve">napuštati prostoriju u kojoj se odvija provjera znanja, </w:t>
      </w:r>
      <w:r w:rsidRPr="00BA1460">
        <w:rPr>
          <w:rFonts w:asciiTheme="minorHAnsi" w:eastAsia="Times New Roman" w:hAnsiTheme="minorHAnsi" w:cstheme="minorHAnsi"/>
          <w:sz w:val="22"/>
        </w:rPr>
        <w:t>-</w:t>
      </w:r>
      <w:r w:rsidRPr="00BA1460">
        <w:rPr>
          <w:rFonts w:asciiTheme="minorHAnsi" w:hAnsiTheme="minorHAnsi" w:cstheme="minorHAnsi"/>
          <w:sz w:val="22"/>
        </w:rPr>
        <w:t xml:space="preserve"> </w:t>
      </w:r>
      <w:r w:rsidRPr="00BA1460">
        <w:rPr>
          <w:rFonts w:asciiTheme="minorHAnsi" w:hAnsiTheme="minorHAnsi" w:cstheme="minorHAnsi"/>
          <w:i/>
          <w:sz w:val="22"/>
        </w:rPr>
        <w:t xml:space="preserve">razgovarati s ostalim kandidatima, </w:t>
      </w:r>
    </w:p>
    <w:p w14:paraId="1D0CB377" w14:textId="4FC93658" w:rsidR="000C2887" w:rsidRPr="00BA1460" w:rsidRDefault="000C2887" w:rsidP="00BA1460">
      <w:pPr>
        <w:numPr>
          <w:ilvl w:val="0"/>
          <w:numId w:val="1"/>
        </w:numPr>
        <w:spacing w:after="50"/>
        <w:ind w:right="0" w:hanging="326"/>
        <w:jc w:val="left"/>
        <w:rPr>
          <w:rFonts w:asciiTheme="minorHAnsi" w:hAnsiTheme="minorHAnsi" w:cstheme="minorHAnsi"/>
          <w:sz w:val="22"/>
        </w:rPr>
      </w:pPr>
      <w:r w:rsidRPr="00BA1460">
        <w:rPr>
          <w:rFonts w:asciiTheme="minorHAnsi" w:hAnsiTheme="minorHAnsi" w:cstheme="minorHAnsi"/>
          <w:i/>
          <w:sz w:val="22"/>
        </w:rPr>
        <w:t xml:space="preserve">na bilo koji način ometati koncentraciju ostalih kandidata. </w:t>
      </w:r>
    </w:p>
    <w:p w14:paraId="0B4D9016" w14:textId="77777777" w:rsidR="000C2887" w:rsidRPr="00BA1460" w:rsidRDefault="000C2887" w:rsidP="000C2887">
      <w:pPr>
        <w:ind w:left="-5" w:right="0"/>
        <w:rPr>
          <w:rFonts w:asciiTheme="minorHAnsi" w:hAnsiTheme="minorHAnsi" w:cstheme="minorHAnsi"/>
          <w:sz w:val="22"/>
        </w:rPr>
      </w:pPr>
      <w:r w:rsidRPr="00BA1460">
        <w:rPr>
          <w:rFonts w:asciiTheme="minorHAnsi" w:hAnsiTheme="minorHAnsi" w:cstheme="minorHAnsi"/>
          <w:sz w:val="22"/>
        </w:rPr>
        <w:t xml:space="preserve">Kandidati koji se ponašaju neprimjereno ili koji prekrše jedno od gore navedenih pravila biti će udaljeni s testiranja, a njihov rezultat neće se bodovati te će se smatrati da su povukli prijavu na natječaj. Nakon završetka pisanog testiranja kandidati će biti obaviješteni o vremenu objave rezultata testiranja te o terminu intervjua s Povjerenstvom. Intervju se provodi samo s kandidatima koji su ostvarili najmanje 50% bodova iz pisanog testiranja. </w:t>
      </w:r>
    </w:p>
    <w:p w14:paraId="399D43C8" w14:textId="77777777" w:rsidR="000C2887" w:rsidRPr="00BA1460" w:rsidRDefault="000C2887" w:rsidP="000C2887">
      <w:pPr>
        <w:spacing w:after="0" w:line="256" w:lineRule="auto"/>
        <w:ind w:left="0" w:right="0" w:firstLine="0"/>
        <w:jc w:val="left"/>
        <w:rPr>
          <w:rFonts w:asciiTheme="minorHAnsi" w:hAnsiTheme="minorHAnsi" w:cstheme="minorHAnsi"/>
          <w:sz w:val="22"/>
        </w:rPr>
      </w:pPr>
      <w:r w:rsidRPr="00BA1460">
        <w:rPr>
          <w:rFonts w:asciiTheme="minorHAnsi" w:hAnsiTheme="minorHAnsi" w:cstheme="minorHAnsi"/>
          <w:sz w:val="22"/>
        </w:rPr>
        <w:t xml:space="preserve"> </w:t>
      </w:r>
    </w:p>
    <w:p w14:paraId="613E1470" w14:textId="1C1CB028" w:rsidR="000C2887" w:rsidRPr="00BA1460" w:rsidRDefault="000C2887" w:rsidP="000C2887">
      <w:pPr>
        <w:spacing w:after="214"/>
        <w:ind w:left="-5" w:right="0"/>
        <w:rPr>
          <w:rFonts w:asciiTheme="minorHAnsi" w:hAnsiTheme="minorHAnsi" w:cstheme="minorHAnsi"/>
          <w:sz w:val="22"/>
        </w:rPr>
      </w:pPr>
      <w:r w:rsidRPr="00BA1460">
        <w:rPr>
          <w:rFonts w:asciiTheme="minorHAnsi" w:hAnsiTheme="minorHAnsi" w:cstheme="minorHAnsi"/>
          <w:sz w:val="22"/>
        </w:rPr>
        <w:t xml:space="preserve">Povjerenstvo kroz intervju s kandidatima utvrđuje: interese, profesionalne ciljeve i motivaciju kandidata za rad u Općini </w:t>
      </w:r>
      <w:r w:rsidR="002751AF" w:rsidRPr="00BA1460">
        <w:rPr>
          <w:rFonts w:asciiTheme="minorHAnsi" w:hAnsiTheme="minorHAnsi" w:cstheme="minorHAnsi"/>
          <w:sz w:val="22"/>
        </w:rPr>
        <w:t>Vođinci</w:t>
      </w:r>
      <w:r w:rsidRPr="00BA1460">
        <w:rPr>
          <w:rFonts w:asciiTheme="minorHAnsi" w:hAnsiTheme="minorHAnsi" w:cstheme="minorHAnsi"/>
          <w:sz w:val="22"/>
        </w:rPr>
        <w:t xml:space="preserve">. Rezultati intervjua boduju se od 1 do 10 bodova. </w:t>
      </w:r>
    </w:p>
    <w:p w14:paraId="25A30327" w14:textId="7200D89C" w:rsidR="000C2887" w:rsidRPr="00BA1460" w:rsidRDefault="000C2887" w:rsidP="000C2887">
      <w:pPr>
        <w:ind w:left="-5" w:right="0"/>
        <w:rPr>
          <w:rFonts w:asciiTheme="minorHAnsi" w:hAnsiTheme="minorHAnsi" w:cstheme="minorHAnsi"/>
          <w:sz w:val="22"/>
        </w:rPr>
      </w:pPr>
      <w:r w:rsidRPr="00BA1460">
        <w:rPr>
          <w:rFonts w:asciiTheme="minorHAnsi" w:hAnsiTheme="minorHAnsi" w:cstheme="minorHAnsi"/>
          <w:sz w:val="22"/>
        </w:rPr>
        <w:t>Nakon provedene prethodne provjere znanja i sposobnosti, Povjerenstvo sastavlja Izvješće o provedenom postupku i utvrđuje rang-listu kandidata prema ukupnom broju ostvarenih bodova na pisanom testiranju i intervjuu te isto dostavlja pročelni</w:t>
      </w:r>
      <w:r w:rsidR="002751AF" w:rsidRPr="00BA1460">
        <w:rPr>
          <w:rFonts w:asciiTheme="minorHAnsi" w:hAnsiTheme="minorHAnsi" w:cstheme="minorHAnsi"/>
          <w:sz w:val="22"/>
        </w:rPr>
        <w:t>ci</w:t>
      </w:r>
      <w:r w:rsidRPr="00BA1460">
        <w:rPr>
          <w:rFonts w:asciiTheme="minorHAnsi" w:hAnsiTheme="minorHAnsi" w:cstheme="minorHAnsi"/>
          <w:sz w:val="22"/>
        </w:rPr>
        <w:t xml:space="preserve"> Jedinstvenog upravnog odjela Općine </w:t>
      </w:r>
      <w:r w:rsidR="002751AF" w:rsidRPr="00BA1460">
        <w:rPr>
          <w:rFonts w:asciiTheme="minorHAnsi" w:hAnsiTheme="minorHAnsi" w:cstheme="minorHAnsi"/>
          <w:sz w:val="22"/>
        </w:rPr>
        <w:t>Vođinci</w:t>
      </w:r>
      <w:r w:rsidRPr="00BA1460">
        <w:rPr>
          <w:rFonts w:asciiTheme="minorHAnsi" w:hAnsiTheme="minorHAnsi" w:cstheme="minorHAnsi"/>
          <w:sz w:val="22"/>
        </w:rPr>
        <w:t xml:space="preserve">. </w:t>
      </w:r>
    </w:p>
    <w:p w14:paraId="79BCA94F" w14:textId="77777777" w:rsidR="000C2887" w:rsidRPr="00BA1460" w:rsidRDefault="000C2887" w:rsidP="000C2887">
      <w:pPr>
        <w:spacing w:after="18" w:line="256" w:lineRule="auto"/>
        <w:ind w:left="0" w:right="0" w:firstLine="0"/>
        <w:jc w:val="left"/>
        <w:rPr>
          <w:rFonts w:asciiTheme="minorHAnsi" w:hAnsiTheme="minorHAnsi" w:cstheme="minorHAnsi"/>
          <w:sz w:val="22"/>
        </w:rPr>
      </w:pPr>
      <w:r w:rsidRPr="00BA1460">
        <w:rPr>
          <w:rFonts w:asciiTheme="minorHAnsi" w:hAnsiTheme="minorHAnsi" w:cstheme="minorHAnsi"/>
          <w:sz w:val="22"/>
        </w:rPr>
        <w:t xml:space="preserve"> </w:t>
      </w:r>
    </w:p>
    <w:p w14:paraId="057712BE" w14:textId="2B1DC903" w:rsidR="000C2887" w:rsidRPr="00BA1460" w:rsidRDefault="000C2887" w:rsidP="000C2887">
      <w:pPr>
        <w:ind w:left="-5" w:right="0"/>
        <w:rPr>
          <w:rFonts w:asciiTheme="minorHAnsi" w:hAnsiTheme="minorHAnsi" w:cstheme="minorHAnsi"/>
          <w:sz w:val="22"/>
        </w:rPr>
      </w:pPr>
      <w:r w:rsidRPr="00BA1460">
        <w:rPr>
          <w:rFonts w:asciiTheme="minorHAnsi" w:hAnsiTheme="minorHAnsi" w:cstheme="minorHAnsi"/>
          <w:sz w:val="22"/>
        </w:rPr>
        <w:t xml:space="preserve">Svi kandidati prijavljeni na javni </w:t>
      </w:r>
      <w:r w:rsidR="00F94FA9">
        <w:rPr>
          <w:rFonts w:asciiTheme="minorHAnsi" w:hAnsiTheme="minorHAnsi" w:cstheme="minorHAnsi"/>
          <w:sz w:val="22"/>
        </w:rPr>
        <w:t>oglas</w:t>
      </w:r>
      <w:r w:rsidRPr="00BA1460">
        <w:rPr>
          <w:rFonts w:asciiTheme="minorHAnsi" w:hAnsiTheme="minorHAnsi" w:cstheme="minorHAnsi"/>
          <w:sz w:val="22"/>
        </w:rPr>
        <w:t xml:space="preserve"> imaju pravo uvida u rezultate provedenog postupka.  </w:t>
      </w:r>
    </w:p>
    <w:p w14:paraId="4416C423" w14:textId="77777777" w:rsidR="000C2887" w:rsidRPr="00BA1460" w:rsidRDefault="000C2887" w:rsidP="000C2887">
      <w:pPr>
        <w:spacing w:after="0" w:line="256" w:lineRule="auto"/>
        <w:ind w:left="0" w:right="0" w:firstLine="0"/>
        <w:jc w:val="left"/>
        <w:rPr>
          <w:rFonts w:asciiTheme="minorHAnsi" w:hAnsiTheme="minorHAnsi" w:cstheme="minorHAnsi"/>
          <w:sz w:val="22"/>
        </w:rPr>
      </w:pPr>
      <w:r w:rsidRPr="00BA1460">
        <w:rPr>
          <w:rFonts w:asciiTheme="minorHAnsi" w:hAnsiTheme="minorHAnsi" w:cstheme="minorHAnsi"/>
          <w:sz w:val="22"/>
        </w:rPr>
        <w:t xml:space="preserve"> </w:t>
      </w:r>
    </w:p>
    <w:p w14:paraId="386F46A3" w14:textId="77777777" w:rsidR="000C2887" w:rsidRPr="00BA1460" w:rsidRDefault="000C2887" w:rsidP="000C2887">
      <w:pPr>
        <w:tabs>
          <w:tab w:val="center" w:pos="3569"/>
        </w:tabs>
        <w:spacing w:after="57" w:line="256" w:lineRule="auto"/>
        <w:ind w:left="-15" w:right="0" w:firstLine="0"/>
        <w:jc w:val="left"/>
        <w:rPr>
          <w:rFonts w:asciiTheme="minorHAnsi" w:hAnsiTheme="minorHAnsi" w:cstheme="minorHAnsi"/>
          <w:sz w:val="22"/>
        </w:rPr>
      </w:pPr>
      <w:r w:rsidRPr="00BA1460">
        <w:rPr>
          <w:rFonts w:asciiTheme="minorHAnsi" w:hAnsiTheme="minorHAnsi" w:cstheme="minorHAnsi"/>
          <w:b/>
          <w:i/>
          <w:sz w:val="22"/>
        </w:rPr>
        <w:t xml:space="preserve">2. </w:t>
      </w:r>
      <w:r w:rsidRPr="00BA1460">
        <w:rPr>
          <w:rFonts w:asciiTheme="minorHAnsi" w:hAnsiTheme="minorHAnsi" w:cstheme="minorHAnsi"/>
          <w:b/>
          <w:i/>
          <w:sz w:val="22"/>
        </w:rPr>
        <w:tab/>
      </w:r>
      <w:r w:rsidRPr="00BA1460">
        <w:rPr>
          <w:rFonts w:asciiTheme="minorHAnsi" w:hAnsiTheme="minorHAnsi" w:cstheme="minorHAnsi"/>
          <w:b/>
          <w:i/>
          <w:sz w:val="22"/>
          <w:u w:val="single" w:color="000000"/>
        </w:rPr>
        <w:t>Pravni i drugi izvori za pripremanje kandidata za testiranje:</w:t>
      </w:r>
      <w:r w:rsidRPr="00BA1460">
        <w:rPr>
          <w:rFonts w:asciiTheme="minorHAnsi" w:hAnsiTheme="minorHAnsi" w:cstheme="minorHAnsi"/>
          <w:b/>
          <w:i/>
          <w:sz w:val="22"/>
        </w:rPr>
        <w:t xml:space="preserve"> </w:t>
      </w:r>
    </w:p>
    <w:p w14:paraId="1FF59F7A" w14:textId="77777777" w:rsidR="000C2887" w:rsidRPr="00BA1460" w:rsidRDefault="000C2887" w:rsidP="000C2887">
      <w:pPr>
        <w:numPr>
          <w:ilvl w:val="0"/>
          <w:numId w:val="2"/>
        </w:numPr>
        <w:ind w:right="0" w:hanging="127"/>
        <w:rPr>
          <w:rFonts w:asciiTheme="minorHAnsi" w:hAnsiTheme="minorHAnsi" w:cstheme="minorHAnsi"/>
          <w:sz w:val="22"/>
        </w:rPr>
      </w:pPr>
      <w:r w:rsidRPr="00BA1460">
        <w:rPr>
          <w:rFonts w:asciiTheme="minorHAnsi" w:hAnsiTheme="minorHAnsi" w:cstheme="minorHAnsi"/>
          <w:sz w:val="22"/>
        </w:rPr>
        <w:t xml:space="preserve">Zakon o o lokalnoj i područnoj (regionalnoj) samoupravi (“NN” broj:33/01 – 144/20) </w:t>
      </w:r>
    </w:p>
    <w:p w14:paraId="2CF3D101" w14:textId="23D1AA05" w:rsidR="000C2887" w:rsidRPr="00BA1460" w:rsidRDefault="00CF4A46" w:rsidP="000C2887">
      <w:pPr>
        <w:numPr>
          <w:ilvl w:val="0"/>
          <w:numId w:val="2"/>
        </w:numPr>
        <w:ind w:right="0" w:hanging="127"/>
        <w:rPr>
          <w:rFonts w:asciiTheme="minorHAnsi" w:hAnsiTheme="minorHAnsi" w:cstheme="minorHAnsi"/>
          <w:sz w:val="22"/>
        </w:rPr>
      </w:pPr>
      <w:r>
        <w:rPr>
          <w:rFonts w:asciiTheme="minorHAnsi" w:hAnsiTheme="minorHAnsi" w:cstheme="minorHAnsi"/>
          <w:sz w:val="22"/>
        </w:rPr>
        <w:t>Uredba o uredskom poslovanju (NN broj:75/21)</w:t>
      </w:r>
    </w:p>
    <w:p w14:paraId="181C7A7B" w14:textId="257A1C3B" w:rsidR="000C2887" w:rsidRDefault="00CF4A46" w:rsidP="00CF4A46">
      <w:pPr>
        <w:spacing w:after="0" w:line="256" w:lineRule="auto"/>
        <w:ind w:left="197" w:right="0" w:firstLine="0"/>
        <w:jc w:val="left"/>
        <w:rPr>
          <w:rFonts w:asciiTheme="minorHAnsi" w:hAnsiTheme="minorHAnsi" w:cstheme="minorHAnsi"/>
          <w:sz w:val="22"/>
        </w:rPr>
      </w:pPr>
      <w:r>
        <w:rPr>
          <w:rFonts w:asciiTheme="minorHAnsi" w:hAnsiTheme="minorHAnsi" w:cstheme="minorHAnsi"/>
          <w:sz w:val="22"/>
        </w:rPr>
        <w:t>-</w:t>
      </w:r>
      <w:r w:rsidR="00930B49">
        <w:rPr>
          <w:rFonts w:asciiTheme="minorHAnsi" w:hAnsiTheme="minorHAnsi" w:cstheme="minorHAnsi"/>
          <w:sz w:val="22"/>
        </w:rPr>
        <w:t xml:space="preserve">Europski socijalni fond plus </w:t>
      </w:r>
      <w:r>
        <w:rPr>
          <w:rFonts w:asciiTheme="minorHAnsi" w:hAnsiTheme="minorHAnsi" w:cstheme="minorHAnsi"/>
          <w:sz w:val="22"/>
        </w:rPr>
        <w:t>Program „Učinkoviti ljudski potencijali 2021-2027“</w:t>
      </w:r>
      <w:r w:rsidR="00930B49">
        <w:rPr>
          <w:rFonts w:asciiTheme="minorHAnsi" w:hAnsiTheme="minorHAnsi" w:cstheme="minorHAnsi"/>
          <w:sz w:val="22"/>
        </w:rPr>
        <w:t xml:space="preserve"> Upute za prijavitelje (PDP)</w:t>
      </w:r>
    </w:p>
    <w:p w14:paraId="10CE2ECA" w14:textId="77777777" w:rsidR="00CF4A46" w:rsidRPr="00BA1460" w:rsidRDefault="00CF4A46" w:rsidP="00CF4A46">
      <w:pPr>
        <w:spacing w:after="0" w:line="256" w:lineRule="auto"/>
        <w:ind w:left="324" w:right="0" w:firstLine="0"/>
        <w:jc w:val="left"/>
        <w:rPr>
          <w:rFonts w:asciiTheme="minorHAnsi" w:hAnsiTheme="minorHAnsi" w:cstheme="minorHAnsi"/>
          <w:sz w:val="22"/>
        </w:rPr>
      </w:pPr>
    </w:p>
    <w:p w14:paraId="1F54CFB4" w14:textId="768F3455" w:rsidR="000C2887" w:rsidRPr="00BA1460" w:rsidRDefault="000C2887" w:rsidP="00BA1460">
      <w:pPr>
        <w:pStyle w:val="Naslov1"/>
        <w:ind w:left="2241" w:right="153" w:firstLine="591"/>
        <w:jc w:val="both"/>
        <w:rPr>
          <w:rFonts w:asciiTheme="minorHAnsi" w:hAnsiTheme="minorHAnsi" w:cstheme="minorHAnsi"/>
          <w:sz w:val="22"/>
        </w:rPr>
      </w:pPr>
      <w:r w:rsidRPr="00BA1460">
        <w:rPr>
          <w:rFonts w:asciiTheme="minorHAnsi" w:hAnsiTheme="minorHAnsi" w:cstheme="minorHAnsi"/>
          <w:sz w:val="22"/>
        </w:rPr>
        <w:t>Predsjednik povjerenstva za provedbu natječaj</w:t>
      </w:r>
      <w:r w:rsidR="00BA1460">
        <w:rPr>
          <w:rFonts w:asciiTheme="minorHAnsi" w:hAnsiTheme="minorHAnsi" w:cstheme="minorHAnsi"/>
          <w:sz w:val="22"/>
        </w:rPr>
        <w:t>a</w:t>
      </w:r>
      <w:r w:rsidRPr="00BA1460">
        <w:rPr>
          <w:rFonts w:asciiTheme="minorHAnsi" w:hAnsiTheme="minorHAnsi" w:cstheme="minorHAnsi"/>
          <w:sz w:val="22"/>
        </w:rPr>
        <w:t xml:space="preserve"> Općine </w:t>
      </w:r>
      <w:r w:rsidR="002751AF" w:rsidRPr="00BA1460">
        <w:rPr>
          <w:rFonts w:asciiTheme="minorHAnsi" w:hAnsiTheme="minorHAnsi" w:cstheme="minorHAnsi"/>
          <w:sz w:val="22"/>
        </w:rPr>
        <w:t>Vođinci</w:t>
      </w:r>
      <w:r w:rsidRPr="00BA1460">
        <w:rPr>
          <w:rFonts w:asciiTheme="minorHAnsi" w:hAnsiTheme="minorHAnsi" w:cstheme="minorHAnsi"/>
          <w:sz w:val="22"/>
        </w:rPr>
        <w:t xml:space="preserve"> </w:t>
      </w:r>
    </w:p>
    <w:p w14:paraId="7DB0D032" w14:textId="77777777" w:rsidR="0013270E" w:rsidRPr="00BA1460" w:rsidRDefault="0013270E">
      <w:pPr>
        <w:rPr>
          <w:rFonts w:asciiTheme="minorHAnsi" w:hAnsiTheme="minorHAnsi" w:cstheme="minorHAnsi"/>
          <w:sz w:val="22"/>
        </w:rPr>
      </w:pPr>
    </w:p>
    <w:sectPr w:rsidR="0013270E" w:rsidRPr="00BA14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53398C"/>
    <w:multiLevelType w:val="hybridMultilevel"/>
    <w:tmpl w:val="F244AB96"/>
    <w:lvl w:ilvl="0" w:tplc="1230254E">
      <w:start w:val="1"/>
      <w:numFmt w:val="bullet"/>
      <w:lvlText w:val="-"/>
      <w:lvlJc w:val="left"/>
      <w:pPr>
        <w:ind w:left="32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2B86826">
      <w:start w:val="1"/>
      <w:numFmt w:val="bullet"/>
      <w:lvlText w:val="o"/>
      <w:lvlJc w:val="left"/>
      <w:pPr>
        <w:ind w:left="127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DBCCA0A2">
      <w:start w:val="1"/>
      <w:numFmt w:val="bullet"/>
      <w:lvlText w:val="▪"/>
      <w:lvlJc w:val="left"/>
      <w:pPr>
        <w:ind w:left="199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22ED934">
      <w:start w:val="1"/>
      <w:numFmt w:val="bullet"/>
      <w:lvlText w:val="•"/>
      <w:lvlJc w:val="left"/>
      <w:pPr>
        <w:ind w:left="271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392A5C86">
      <w:start w:val="1"/>
      <w:numFmt w:val="bullet"/>
      <w:lvlText w:val="o"/>
      <w:lvlJc w:val="left"/>
      <w:pPr>
        <w:ind w:left="343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7D6C4C8">
      <w:start w:val="1"/>
      <w:numFmt w:val="bullet"/>
      <w:lvlText w:val="▪"/>
      <w:lvlJc w:val="left"/>
      <w:pPr>
        <w:ind w:left="415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AA72829E">
      <w:start w:val="1"/>
      <w:numFmt w:val="bullet"/>
      <w:lvlText w:val="•"/>
      <w:lvlJc w:val="left"/>
      <w:pPr>
        <w:ind w:left="487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376E45E">
      <w:start w:val="1"/>
      <w:numFmt w:val="bullet"/>
      <w:lvlText w:val="o"/>
      <w:lvlJc w:val="left"/>
      <w:pPr>
        <w:ind w:left="559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AD9A80DA">
      <w:start w:val="1"/>
      <w:numFmt w:val="bullet"/>
      <w:lvlText w:val="▪"/>
      <w:lvlJc w:val="left"/>
      <w:pPr>
        <w:ind w:left="631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66702AAF"/>
    <w:multiLevelType w:val="hybridMultilevel"/>
    <w:tmpl w:val="8BEA29BA"/>
    <w:lvl w:ilvl="0" w:tplc="465CB02E">
      <w:start w:val="1"/>
      <w:numFmt w:val="bullet"/>
      <w:lvlText w:val="-"/>
      <w:lvlJc w:val="left"/>
      <w:pPr>
        <w:ind w:left="3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5172EEBC">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58787286">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D9E00036">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5E7AFEEE">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B1F0C73A">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9BB88250">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D86E8BC4">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44328DBA">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num w:numId="1" w16cid:durableId="1014071149">
    <w:abstractNumId w:val="1"/>
  </w:num>
  <w:num w:numId="2" w16cid:durableId="1288319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30E"/>
    <w:rsid w:val="00014E7A"/>
    <w:rsid w:val="000C2887"/>
    <w:rsid w:val="000F095A"/>
    <w:rsid w:val="0013270E"/>
    <w:rsid w:val="002751AF"/>
    <w:rsid w:val="002F630E"/>
    <w:rsid w:val="00930B49"/>
    <w:rsid w:val="00BA1460"/>
    <w:rsid w:val="00CF4A46"/>
    <w:rsid w:val="00DD4504"/>
    <w:rsid w:val="00F94FA9"/>
    <w:rsid w:val="00FC4F9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D0DD2"/>
  <w15:chartTrackingRefBased/>
  <w15:docId w15:val="{3489A900-8580-4692-94EE-69CE8AF94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887"/>
    <w:pPr>
      <w:spacing w:after="2" w:line="254" w:lineRule="auto"/>
      <w:ind w:left="10" w:right="9" w:hanging="10"/>
      <w:jc w:val="both"/>
    </w:pPr>
    <w:rPr>
      <w:rFonts w:ascii="Arial" w:eastAsia="Arial" w:hAnsi="Arial" w:cs="Arial"/>
      <w:color w:val="000000"/>
      <w:sz w:val="20"/>
      <w:lang w:eastAsia="hr-HR"/>
    </w:rPr>
  </w:style>
  <w:style w:type="paragraph" w:styleId="Naslov1">
    <w:name w:val="heading 1"/>
    <w:next w:val="Normal"/>
    <w:link w:val="Naslov1Char"/>
    <w:uiPriority w:val="9"/>
    <w:qFormat/>
    <w:rsid w:val="000C2887"/>
    <w:pPr>
      <w:keepNext/>
      <w:keepLines/>
      <w:spacing w:after="0" w:line="266" w:lineRule="auto"/>
      <w:ind w:left="117" w:hanging="10"/>
      <w:jc w:val="center"/>
      <w:outlineLvl w:val="0"/>
    </w:pPr>
    <w:rPr>
      <w:rFonts w:ascii="Arial" w:eastAsia="Arial" w:hAnsi="Arial" w:cs="Arial"/>
      <w:b/>
      <w:color w:val="000000"/>
      <w:sz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C2887"/>
    <w:rPr>
      <w:rFonts w:ascii="Arial" w:eastAsia="Arial" w:hAnsi="Arial" w:cs="Arial"/>
      <w:b/>
      <w:color w:val="000000"/>
      <w:sz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9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431</Words>
  <Characters>2461</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Vođinci Vođinci</dc:creator>
  <cp:keywords/>
  <dc:description/>
  <cp:lastModifiedBy>Općina Vođinci Vođinci</cp:lastModifiedBy>
  <cp:revision>15</cp:revision>
  <dcterms:created xsi:type="dcterms:W3CDTF">2024-01-26T11:49:00Z</dcterms:created>
  <dcterms:modified xsi:type="dcterms:W3CDTF">2025-07-29T12:34:00Z</dcterms:modified>
</cp:coreProperties>
</file>