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4C10B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C10B8" w:rsidRDefault="00BC10D8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4C10B8" w:rsidRDefault="00BC10D8">
            <w:pPr>
              <w:spacing w:after="0" w:line="240" w:lineRule="auto"/>
            </w:pPr>
            <w:r>
              <w:t>37404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C10B8" w:rsidRDefault="00BC10D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4C10B8" w:rsidRDefault="00BC10D8">
            <w:pPr>
              <w:spacing w:after="0" w:line="240" w:lineRule="auto"/>
            </w:pPr>
            <w:r>
              <w:t>OPĆINA VOĐINCI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C10B8" w:rsidRDefault="00BC10D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4C10B8" w:rsidRDefault="00BC10D8">
            <w:pPr>
              <w:spacing w:after="0" w:line="240" w:lineRule="auto"/>
            </w:pPr>
            <w:r>
              <w:t>23</w:t>
            </w:r>
          </w:p>
        </w:tc>
      </w:tr>
    </w:tbl>
    <w:p w:rsidR="004C10B8" w:rsidRDefault="00BC10D8">
      <w:r>
        <w:br/>
      </w:r>
    </w:p>
    <w:p w:rsidR="004C10B8" w:rsidRDefault="00BC10D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4C10B8" w:rsidRDefault="00BC10D8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4C10B8" w:rsidRDefault="00BC10D8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4C10B8" w:rsidRDefault="004C10B8"/>
    <w:p w:rsidR="004C10B8" w:rsidRDefault="00BC10D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4C10B8" w:rsidRDefault="00BC10D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C10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1.741.363,41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2.165.729,85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124,4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1.039.775,26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1.492.852,42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143,6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4C10B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701.588,15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672.877,43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95,9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27.573,81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29.787,40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108,0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1.078.224,31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1.124.353,78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104,3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4C10B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1.050.650,50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1.094.566,38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104,2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286.875,00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</w:t>
            </w:r>
            <w:r>
              <w:rPr>
                <w:sz w:val="18"/>
              </w:rPr>
              <w:t>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155.824,23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30.702,85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19,7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4C10B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30.702,85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4C10B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218.011,58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452.391,80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207,5</w:t>
            </w:r>
          </w:p>
        </w:tc>
      </w:tr>
    </w:tbl>
    <w:p w:rsidR="004C10B8" w:rsidRDefault="004C10B8">
      <w:pPr>
        <w:spacing w:after="0"/>
      </w:pPr>
    </w:p>
    <w:p w:rsidR="004C10B8" w:rsidRDefault="00BC10D8">
      <w:r>
        <w:t>U ovom izvještajnom razdoblju ostvaren je višak prihoda poslovanja (šifra X001) u iznosu od 672.877,43 EUR. Manjak prihoda od nefinancijske imovine (šifra Y002) ostvaren je u iznosu od 1.094.566,38 EUR, te manjak od financijske imovine i zaduživanja (šifra</w:t>
      </w:r>
      <w:r>
        <w:t xml:space="preserve"> Y003) u iznosu od 30.702,85 EUR. Manjak prihoda i primitaka (šifra Y005) u iznosu od 452.391,80 EUR umanjen za preneseni višak prihoda i primitaka (šifra 9221-9222) u iznosu od 206.157,34 </w:t>
      </w:r>
      <w:r>
        <w:lastRenderedPageBreak/>
        <w:t>EUR daje rezultat tj. manjak prihoda i primitaka za pokriće u sljed</w:t>
      </w:r>
      <w:r>
        <w:t>ećem razdoblju (šifra Y006) u iznosu od 246.234,46 EUR.</w:t>
      </w:r>
    </w:p>
    <w:p w:rsidR="004C10B8" w:rsidRDefault="00BC10D8">
      <w:r>
        <w:t> </w:t>
      </w:r>
    </w:p>
    <w:p w:rsidR="004C10B8" w:rsidRDefault="00BC10D8">
      <w:r>
        <w:t> </w:t>
      </w:r>
    </w:p>
    <w:p w:rsidR="004C10B8" w:rsidRDefault="00BC10D8">
      <w:r>
        <w:br/>
      </w:r>
    </w:p>
    <w:p w:rsidR="004C10B8" w:rsidRDefault="00BC10D8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C10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1.741.363,41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2.165.729,85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124,4</w:t>
            </w:r>
          </w:p>
        </w:tc>
      </w:tr>
    </w:tbl>
    <w:p w:rsidR="004C10B8" w:rsidRDefault="004C10B8">
      <w:pPr>
        <w:spacing w:after="0"/>
      </w:pPr>
    </w:p>
    <w:p w:rsidR="004C10B8" w:rsidRDefault="00BC10D8">
      <w:r>
        <w:t>Prihodi poslovanja (šifra 6) ostvareni su u iznosu od 2.165.729,85 EUR, što je za 24,4 % više od realizacije prošle godine. U strukturi prihoda poslovanja, vrijednosno najznačajnije stavke su prihodi od pomoći (šifra 63) sa 1.388.967,34 EUR i prihodi od po</w:t>
      </w:r>
      <w:r>
        <w:t>reza (šifra 61) sa 509.499,33 EUR. Ove dvije stavke zajedno čine 88 % ukupnih prihoda poslovanja u 2025. godini. Pojedinačno promatrano, najznačajnija stavka prihoda poslovanja je porez na dohodak (šifra 6119) u iznosu od 491.982,73 EUR.</w:t>
      </w:r>
    </w:p>
    <w:p w:rsidR="004C10B8" w:rsidRDefault="004C10B8"/>
    <w:p w:rsidR="004C10B8" w:rsidRDefault="00BC10D8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C10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1.170.505,11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1.389.967,34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118,7</w:t>
            </w:r>
          </w:p>
        </w:tc>
      </w:tr>
    </w:tbl>
    <w:p w:rsidR="004C10B8" w:rsidRDefault="004C10B8">
      <w:pPr>
        <w:spacing w:after="0"/>
      </w:pPr>
    </w:p>
    <w:p w:rsidR="004C10B8" w:rsidRDefault="00BC10D8">
      <w:r>
        <w:t>Pomoći iz inozemstva i od subjekata unutar općeg proračuna (šifra 63) sastoje se od sljedećeg: tekuće pomoći iz državnog proračuna u iznosu od 63.115,39 EUR (pomoći 15 % za projekt Zaželi, troškovi ogrjeva siječanj-lipanj, potpora za stanovanje mladih obit</w:t>
      </w:r>
      <w:r>
        <w:t>elji, sredstva za fiskalnu održivost dječjih vrtića u iznosu od 113.976,00 EUR, tekuće pomoći iz županijskog proračuna u iznosu od 88.420,06 EUR (pomoć za nastavak obnove od posljedica šteta iz srpnja 2023.), kapitalne pomoći iz državnog proračuna u iznosu</w:t>
      </w:r>
      <w:r>
        <w:t xml:space="preserve"> od 119.866,98 EUR (izrada projektno-tehničke dokumentacije za izgradnju sportsko rekreacijskog inkubatora, rekonstrukcija i izgradnja groblja u </w:t>
      </w:r>
      <w:proofErr w:type="spellStart"/>
      <w:r>
        <w:t>Vođincima</w:t>
      </w:r>
      <w:proofErr w:type="spellEnd"/>
      <w:r>
        <w:t>, nabava komunalne opreme, poboljšanje materijalnih uvjeta u dječjim vrtićima- Vrtić u prirodi), kapit</w:t>
      </w:r>
      <w:r>
        <w:t>alne pomoći iz županijskog proračuna u iznosu od 15.000,00 EUR (sufinanciranje projekta rekonstrukcije i izgradnje pješačkih staza), tekuće pomoći od HZZZ-a  u iznosu do1.031,92 EUR ( javni radovi 15 %), tekuće pomoći od FZOEU u iznosu od 68.361,80 EUR (sa</w:t>
      </w:r>
      <w:r>
        <w:t xml:space="preserve">nacija divljih odlagališta, edukacija stanovništva na temu gospodarenja otpadom), kapitalne pomoći FZOEU u iznosu od </w:t>
      </w:r>
      <w:r>
        <w:lastRenderedPageBreak/>
        <w:t xml:space="preserve">257.875,15 EUR (poticanje mjera odvojenog sakupljanja komunalnog otpada, razvoj pametnih i održivih rješenja u Općini </w:t>
      </w:r>
      <w:proofErr w:type="spellStart"/>
      <w:r>
        <w:t>Vođinci</w:t>
      </w:r>
      <w:proofErr w:type="spellEnd"/>
      <w:r>
        <w:t>, sufinanciran</w:t>
      </w:r>
      <w:r>
        <w:t>je mjera prilagodbe klimatskim promjenama u svrhu jačanja otpornosti urbanih sredina), pomoći fiskalnog izravnanja u iznosu od 395.584,84 EUR, tekuće pomoći iz državnog proračuna temeljem prijenosa EU sredstava u iznosu od 258.374,33 EUR (Zaželi 85%), teku</w:t>
      </w:r>
      <w:r>
        <w:t xml:space="preserve">će pomoći HZZZ-a temeljem prijenosa EU sredstava  u iznosu od 5.847,54 EUR (javni radovi 85%), kapitalne pomoći iz državnog proračuna temeljem prijenosa EU sredstava u iznosu od 1.369,33 EUR (ITU- izgradnja pješačko-biciklističkih staza na području Općine </w:t>
      </w:r>
      <w:proofErr w:type="spellStart"/>
      <w:r>
        <w:t>Vođinci</w:t>
      </w:r>
      <w:proofErr w:type="spellEnd"/>
      <w:r>
        <w:t xml:space="preserve">). Pomoći iz Državnog proračuna odnose se i na program </w:t>
      </w:r>
      <w:proofErr w:type="spellStart"/>
      <w:r>
        <w:t>predškole</w:t>
      </w:r>
      <w:proofErr w:type="spellEnd"/>
      <w:r>
        <w:t xml:space="preserve"> i ost</w:t>
      </w:r>
      <w:r>
        <w:t>va</w:t>
      </w:r>
      <w:r>
        <w:t>reni su u iznosu od 1.144,00 EUR.</w:t>
      </w:r>
    </w:p>
    <w:p w:rsidR="004C10B8" w:rsidRDefault="004C10B8"/>
    <w:p w:rsidR="004C10B8" w:rsidRDefault="00BC10D8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C10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386,71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22.257,45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5755,6</w:t>
            </w:r>
          </w:p>
        </w:tc>
      </w:tr>
    </w:tbl>
    <w:p w:rsidR="004C10B8" w:rsidRDefault="004C10B8">
      <w:pPr>
        <w:spacing w:after="0"/>
      </w:pPr>
    </w:p>
    <w:p w:rsidR="004C10B8" w:rsidRDefault="00BC10D8">
      <w:r>
        <w:t xml:space="preserve">Stavka ostali prihodi bilježi veliko povećanje, u odnosu na prethodnu godinu, uslijed uplate </w:t>
      </w:r>
      <w:proofErr w:type="spellStart"/>
      <w:r>
        <w:t>Solar</w:t>
      </w:r>
      <w:proofErr w:type="spellEnd"/>
      <w:r>
        <w:t xml:space="preserve"> Energy </w:t>
      </w:r>
      <w:proofErr w:type="spellStart"/>
      <w:r>
        <w:t>Vođinci</w:t>
      </w:r>
      <w:proofErr w:type="spellEnd"/>
      <w:r>
        <w:t xml:space="preserve"> d.o.o. za naknadu za gradnju proizvodnog postrojenja. Također povećanju ostalog prihoda doprini</w:t>
      </w:r>
      <w:r>
        <w:t>je</w:t>
      </w:r>
      <w:r>
        <w:t>la je uplata za refundaciju sredstava za ispl</w:t>
      </w:r>
      <w:r>
        <w:t>atu biračkih odbora i članovima izbornog povjerenstva.</w:t>
      </w:r>
    </w:p>
    <w:p w:rsidR="004C10B8" w:rsidRDefault="004C10B8"/>
    <w:p w:rsidR="004C10B8" w:rsidRDefault="00BC10D8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C10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1.039.775,26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1.492.852,42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143,6</w:t>
            </w:r>
          </w:p>
        </w:tc>
      </w:tr>
    </w:tbl>
    <w:p w:rsidR="004C10B8" w:rsidRDefault="004C10B8">
      <w:pPr>
        <w:spacing w:after="0"/>
      </w:pPr>
    </w:p>
    <w:p w:rsidR="004C10B8" w:rsidRDefault="00BC10D8">
      <w:r>
        <w:t>Rashodi poslovanj</w:t>
      </w:r>
      <w:r>
        <w:t xml:space="preserve">a (šifra 3) realizirani su u iznosu do 1.492.852,42 EUR te veći za 44 % u odnosu na lani.  U strukturi rashoda poslovanja vrijednosno najznačajnije pozicije su rashodi za zaposlene (šifra 31) u iznosu od 734.626,56 EUR, materijalni rashodi </w:t>
      </w:r>
      <w:r>
        <w:t>(šifra 32) sa 336.119,20 EUR. Od ukupne svote rashoda za zaposlene, na zaposlene u Općini odnosi se 192.662,14 EUR, rashodi za plaće radnika koji su bili na javnim radovima 6.760,20 EUR te na plaće za projekt "Zaželi" odnosi se 277.448,66 EUR. Povećanje na</w:t>
      </w:r>
      <w:r>
        <w:t xml:space="preserve"> ovoj stavci rezultira zaposlenim na projektu cijelu 2025. godinu, dok je u 2024. bilo obuhvaćeno samo pola godine, te rashodi za zaposlene u DV Mladost </w:t>
      </w:r>
      <w:proofErr w:type="spellStart"/>
      <w:r>
        <w:t>Vođinci</w:t>
      </w:r>
      <w:proofErr w:type="spellEnd"/>
      <w:r>
        <w:t xml:space="preserve"> u iznosu od 257.755,56 EUR. Materijalni rashodi bilježe porast od 8 %, obuhvaćaju rashode za ma</w:t>
      </w:r>
      <w:r>
        <w:t>terijal i energiju, rashode za usluge, ostale nespomenute rashode poslovanja (premije osiguranja, naknade članovima povjerenstva, reprezentacija, rashodi protokola, rashodi za obilježavanje Uskrsa, Adventa, Dana Općine, praznika rada i sl.)</w:t>
      </w:r>
    </w:p>
    <w:p w:rsidR="004C10B8" w:rsidRDefault="00BC10D8">
      <w:r>
        <w:lastRenderedPageBreak/>
        <w:t>Pomoći dane u i</w:t>
      </w:r>
      <w:r>
        <w:t xml:space="preserve">nozemstvo i unutar općeg proračuna (šifra 36) odnose se na kapitalne pomoći županijskom proračunu za sanaciju i opremanje vanjskog sportskog igrališta u OŠ </w:t>
      </w:r>
      <w:proofErr w:type="spellStart"/>
      <w:r>
        <w:t>Vođinci</w:t>
      </w:r>
      <w:proofErr w:type="spellEnd"/>
      <w:r>
        <w:t xml:space="preserve"> u iznosu od 49.725,61 EUR, plaćanje poticajne naknade FZOEU za 2024. godinu u iznosu od 3.11</w:t>
      </w:r>
      <w:r>
        <w:t>1,28 EUR.</w:t>
      </w:r>
    </w:p>
    <w:p w:rsidR="004C10B8" w:rsidRDefault="00BC10D8">
      <w:r>
        <w:t xml:space="preserve">Rashodi za donacije, kazne, naknade šteta i kapitalne pomoći (šifra 38) bilježe znatan porast od 128,20 %, najvećim dijelom na tekuće donacije i kapitalne pomoći VVIK d.o.o.  za izgradnju i rekonstrukciju </w:t>
      </w:r>
      <w:proofErr w:type="spellStart"/>
      <w:r>
        <w:t>vodnokomunalne</w:t>
      </w:r>
      <w:proofErr w:type="spellEnd"/>
      <w:r>
        <w:t xml:space="preserve">  infrastrukture na području općine </w:t>
      </w:r>
      <w:proofErr w:type="spellStart"/>
      <w:r>
        <w:t>V</w:t>
      </w:r>
      <w:r>
        <w:t>ođinci</w:t>
      </w:r>
      <w:proofErr w:type="spellEnd"/>
      <w:r>
        <w:t>.</w:t>
      </w:r>
    </w:p>
    <w:p w:rsidR="004C10B8" w:rsidRDefault="004C10B8"/>
    <w:p w:rsidR="004C10B8" w:rsidRDefault="00BC10D8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C10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27.573,81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29.787,40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108,0</w:t>
            </w:r>
          </w:p>
        </w:tc>
      </w:tr>
    </w:tbl>
    <w:p w:rsidR="004C10B8" w:rsidRDefault="004C10B8">
      <w:pPr>
        <w:spacing w:after="0"/>
      </w:pPr>
    </w:p>
    <w:p w:rsidR="004C10B8" w:rsidRDefault="00BC10D8">
      <w:r>
        <w:t>Prihodi od prodaje nefinancijske imovine (šifra 7) realizirani su u iznosu od 29.787,40 EUR, a odnose se na prihode od prodaje stambenog objekta te na prihode od prodaje zemljišta.</w:t>
      </w:r>
    </w:p>
    <w:p w:rsidR="004C10B8" w:rsidRDefault="004C10B8"/>
    <w:p w:rsidR="004C10B8" w:rsidRDefault="00BC10D8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C10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1.078.224,31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1.124.353,78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104,3</w:t>
            </w:r>
          </w:p>
        </w:tc>
      </w:tr>
    </w:tbl>
    <w:p w:rsidR="004C10B8" w:rsidRDefault="004C10B8">
      <w:pPr>
        <w:spacing w:after="0"/>
      </w:pPr>
    </w:p>
    <w:p w:rsidR="004C10B8" w:rsidRDefault="00BC10D8">
      <w:r>
        <w:t>Rashodi za nabavu nefinancijske imovine (šifra 4) povećani su za 4 % u odnosu na prošlu godinu.  Najveći dio odnosi se na nabavu proizvedene dugotrajne imovine (šifra 42) u iznosu od 966.575,14 EUR. Navedena stavka sastoji se od slijedeć</w:t>
      </w:r>
      <w:r>
        <w:t>ih rashoda: 25.000</w:t>
      </w:r>
      <w:r>
        <w:t xml:space="preserve">,00 EUR za dokumentaciju sportsko-rekreacijskog inkubatora, 18.125,00 EUR za uređenje zgrade Lovačkog doma, 7.488,64 EUR za rekonstrukciju i sanaciju pješačkog mosta u </w:t>
      </w:r>
      <w:proofErr w:type="spellStart"/>
      <w:r>
        <w:t>Vođincima</w:t>
      </w:r>
      <w:proofErr w:type="spellEnd"/>
      <w:r>
        <w:t xml:space="preserve">, 53.933,56 EUR za izgradnju dječjih igrališta u </w:t>
      </w:r>
      <w:proofErr w:type="spellStart"/>
      <w:r>
        <w:t>Kučištima</w:t>
      </w:r>
      <w:proofErr w:type="spellEnd"/>
      <w:r>
        <w:t>, u Ulici J. Kozarca,</w:t>
      </w:r>
      <w:r>
        <w:t xml:space="preserve"> Vrtić u prirodi (DV Mladost </w:t>
      </w:r>
      <w:proofErr w:type="spellStart"/>
      <w:r>
        <w:t>Vođinci</w:t>
      </w:r>
      <w:proofErr w:type="spellEnd"/>
      <w:r>
        <w:t xml:space="preserve">), 80.139,31 EUR za rekonstrukciju biciklističke staze i drvoreda, 359.750,29 EUR za pješačke staze, 15.147,00 EUR za računala i računalnu opremu, 2.385,00 EUR za klima uređaje,107.500,00 EUR za nabavu traktora </w:t>
      </w:r>
      <w:proofErr w:type="spellStart"/>
      <w:r>
        <w:t>Valtra</w:t>
      </w:r>
      <w:proofErr w:type="spellEnd"/>
      <w:r>
        <w:t xml:space="preserve"> G1</w:t>
      </w:r>
      <w:r>
        <w:t xml:space="preserve">35V,  131.877,78 EUR za opremu (didaktičke igračke i vrtna kućica za DV Mladost </w:t>
      </w:r>
      <w:proofErr w:type="spellStart"/>
      <w:r>
        <w:t>Vođinci</w:t>
      </w:r>
      <w:proofErr w:type="spellEnd"/>
      <w:r>
        <w:t xml:space="preserve">, </w:t>
      </w:r>
      <w:proofErr w:type="spellStart"/>
      <w:r>
        <w:t>meteo</w:t>
      </w:r>
      <w:proofErr w:type="spellEnd"/>
      <w:r>
        <w:t xml:space="preserve"> stanica, kante za otpad,  oprema za dječja igrališta, mrtvačka kolica za potrebe ukopa, koševi za smeće i klupe, 7.182,00 EUR za nabavu 20 bicikli, 44.900,00 EUR</w:t>
      </w:r>
      <w:r>
        <w:t xml:space="preserve"> za  drvored u </w:t>
      </w:r>
      <w:proofErr w:type="spellStart"/>
      <w:r>
        <w:t>Vođincima</w:t>
      </w:r>
      <w:proofErr w:type="spellEnd"/>
      <w:r>
        <w:t>, 82.112,76 EUR za ulaganje u računalne programe, 29.375,00 EUR za prostorne planove, te za nabavu garderobnog ormara, printera za potrebe rada vrtića u iznosu od 1.658,80 EUR.</w:t>
      </w:r>
    </w:p>
    <w:p w:rsidR="004C10B8" w:rsidRDefault="004C10B8"/>
    <w:p w:rsidR="004C10B8" w:rsidRDefault="00BC10D8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C10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155.824,23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30.702,85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19,7</w:t>
            </w:r>
          </w:p>
        </w:tc>
      </w:tr>
    </w:tbl>
    <w:p w:rsidR="004C10B8" w:rsidRDefault="004C10B8">
      <w:pPr>
        <w:spacing w:after="0"/>
      </w:pPr>
    </w:p>
    <w:p w:rsidR="004C10B8" w:rsidRDefault="00BC10D8">
      <w:r>
        <w:t xml:space="preserve">Izdaci za financijsku imovinu i otplate zajmova (šifra 5) smanjena je za 80,30 % u odnosu na prošlu godinu. Navedena stavka odnosi se na otplatu glavnice financijskog </w:t>
      </w:r>
      <w:proofErr w:type="spellStart"/>
      <w:r>
        <w:t>leasing</w:t>
      </w:r>
      <w:proofErr w:type="spellEnd"/>
      <w:r>
        <w:t>-a za drobilicu u iznosu od  28.202,85 EUR te 2.500,00 EUR na udio u trgovačkom dr</w:t>
      </w:r>
      <w:r>
        <w:t xml:space="preserve">uštvu </w:t>
      </w:r>
      <w:proofErr w:type="spellStart"/>
      <w:r>
        <w:t>Von</w:t>
      </w:r>
      <w:proofErr w:type="spellEnd"/>
      <w:r>
        <w:t>-Kom d.o.o..</w:t>
      </w:r>
    </w:p>
    <w:p w:rsidR="004C10B8" w:rsidRDefault="004C10B8"/>
    <w:p w:rsidR="004C10B8" w:rsidRDefault="00BC10D8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4C10B8" w:rsidRDefault="00BC10D8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C10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4C10B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6.034.858,13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6.798.408,28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112,7</w:t>
            </w:r>
          </w:p>
        </w:tc>
      </w:tr>
    </w:tbl>
    <w:p w:rsidR="004C10B8" w:rsidRDefault="004C10B8">
      <w:pPr>
        <w:spacing w:after="0"/>
      </w:pPr>
    </w:p>
    <w:p w:rsidR="004C10B8" w:rsidRDefault="00BC10D8">
      <w:r>
        <w:t>Imovina (šifra B001) sastoji se od nefinancijske i financijske imovine. Bilježi porast od 13 % u odnosu na prošlu godinu.</w:t>
      </w:r>
    </w:p>
    <w:p w:rsidR="004C10B8" w:rsidRDefault="004C10B8"/>
    <w:p w:rsidR="004C10B8" w:rsidRDefault="00BC10D8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C10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51.751,69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151.643,70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293,0</w:t>
            </w:r>
          </w:p>
        </w:tc>
      </w:tr>
    </w:tbl>
    <w:p w:rsidR="004C10B8" w:rsidRDefault="004C10B8">
      <w:pPr>
        <w:spacing w:after="0"/>
      </w:pPr>
    </w:p>
    <w:p w:rsidR="004C10B8" w:rsidRDefault="00BC10D8">
      <w:r>
        <w:t xml:space="preserve">Nematerijalna imovina (šifra 012) znatno je povećana u odnosu na lani. Stavka se sastoji od sljedećeg: 51.751,69 EUR ulaganje u proširenje vodovodne mreže, 79.169,88 EUR ulaganje u rekonstrukciju mosta (MORH), 20.722,13 EUR ulaganje u obnovu vodospreme u </w:t>
      </w:r>
      <w:proofErr w:type="spellStart"/>
      <w:r>
        <w:t>K</w:t>
      </w:r>
      <w:r>
        <w:t>učištima</w:t>
      </w:r>
      <w:proofErr w:type="spellEnd"/>
      <w:r>
        <w:t>.</w:t>
      </w:r>
    </w:p>
    <w:p w:rsidR="004C10B8" w:rsidRDefault="004C10B8"/>
    <w:p w:rsidR="004C10B8" w:rsidRDefault="00BC10D8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C10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463,1</w:t>
            </w:r>
          </w:p>
        </w:tc>
      </w:tr>
    </w:tbl>
    <w:p w:rsidR="004C10B8" w:rsidRDefault="004C10B8">
      <w:pPr>
        <w:spacing w:after="0"/>
      </w:pPr>
    </w:p>
    <w:p w:rsidR="004C10B8" w:rsidRDefault="00BC10D8">
      <w:r>
        <w:lastRenderedPageBreak/>
        <w:t>Prijevozna sredstva u cestovnom prometu (šifra 0231) bilježi porast od 363,10 %, a odnosi se na nabavu 20 bicikli.</w:t>
      </w:r>
    </w:p>
    <w:p w:rsidR="004C10B8" w:rsidRDefault="004C10B8"/>
    <w:p w:rsidR="004C10B8" w:rsidRDefault="00BC10D8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C10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Višegodišnji nasadi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52.220,59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97.120,59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186,0</w:t>
            </w:r>
          </w:p>
        </w:tc>
      </w:tr>
    </w:tbl>
    <w:p w:rsidR="004C10B8" w:rsidRDefault="004C10B8">
      <w:pPr>
        <w:spacing w:after="0"/>
      </w:pPr>
    </w:p>
    <w:p w:rsidR="004C10B8" w:rsidRDefault="00BC10D8">
      <w:r>
        <w:t xml:space="preserve">Višegodišnji nasadi (šifra 0251) bilježe povećanje za 86 % zbog sadnje drvoreda u Općini </w:t>
      </w:r>
      <w:proofErr w:type="spellStart"/>
      <w:r>
        <w:t>Vođinci</w:t>
      </w:r>
      <w:proofErr w:type="spellEnd"/>
      <w:r>
        <w:t>.</w:t>
      </w:r>
    </w:p>
    <w:p w:rsidR="004C10B8" w:rsidRDefault="004C10B8"/>
    <w:p w:rsidR="004C10B8" w:rsidRDefault="00BC10D8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C10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Ulaganja u računalne </w:t>
            </w:r>
            <w:r>
              <w:rPr>
                <w:sz w:val="18"/>
              </w:rPr>
              <w:t>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26.941,79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109.054,55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404,8</w:t>
            </w:r>
          </w:p>
        </w:tc>
      </w:tr>
    </w:tbl>
    <w:p w:rsidR="004C10B8" w:rsidRDefault="004C10B8">
      <w:pPr>
        <w:spacing w:after="0"/>
      </w:pPr>
    </w:p>
    <w:p w:rsidR="004C10B8" w:rsidRDefault="00BC10D8">
      <w:r>
        <w:t xml:space="preserve">Ulaganja u računalne programe (šifra 0262)  bilježi povećanje od 304,80 % zbog digitalizacije i nabave novih programa </w:t>
      </w:r>
      <w:proofErr w:type="spellStart"/>
      <w:r>
        <w:t>Libusoft</w:t>
      </w:r>
      <w:proofErr w:type="spellEnd"/>
      <w:r>
        <w:t xml:space="preserve"> Cicom za potrebe poslovanja Općine.</w:t>
      </w:r>
    </w:p>
    <w:p w:rsidR="004C10B8" w:rsidRDefault="004C10B8"/>
    <w:p w:rsidR="004C10B8" w:rsidRDefault="00BC10D8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C10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55.704,24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64.825,76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</w:tbl>
    <w:p w:rsidR="004C10B8" w:rsidRDefault="004C10B8">
      <w:pPr>
        <w:spacing w:after="0"/>
      </w:pPr>
    </w:p>
    <w:p w:rsidR="004C10B8" w:rsidRDefault="00BC10D8">
      <w:r>
        <w:t xml:space="preserve">Sitni inventar i </w:t>
      </w:r>
      <w:proofErr w:type="spellStart"/>
      <w:r>
        <w:t>autogume</w:t>
      </w:r>
      <w:proofErr w:type="spellEnd"/>
      <w:r>
        <w:t xml:space="preserve"> u upotrebi (šifra 042) otpisuje se jednokratno prilikom stavljanja u uporabu.</w:t>
      </w:r>
    </w:p>
    <w:p w:rsidR="004C10B8" w:rsidRDefault="004C10B8"/>
    <w:p w:rsidR="004C10B8" w:rsidRDefault="00BC10D8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C10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54.176,34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79.176,34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146,1</w:t>
            </w:r>
          </w:p>
        </w:tc>
      </w:tr>
    </w:tbl>
    <w:p w:rsidR="004C10B8" w:rsidRDefault="004C10B8">
      <w:pPr>
        <w:spacing w:after="0"/>
      </w:pPr>
    </w:p>
    <w:p w:rsidR="004C10B8" w:rsidRDefault="00BC10D8">
      <w:r>
        <w:lastRenderedPageBreak/>
        <w:t xml:space="preserve">Građevinski objekti u pripremi (šifra 051) sastoje se od sljedećeg: 25.000,00 EUR za dokumentaciju sportsko-rekreacijskog inkubatora u Općini </w:t>
      </w:r>
      <w:proofErr w:type="spellStart"/>
      <w:r>
        <w:t>Vođinci</w:t>
      </w:r>
      <w:proofErr w:type="spellEnd"/>
      <w:r>
        <w:t>, 54.176,34 EUR za poučne staze.</w:t>
      </w:r>
    </w:p>
    <w:p w:rsidR="004C10B8" w:rsidRDefault="004C10B8"/>
    <w:p w:rsidR="004C10B8" w:rsidRDefault="00BC10D8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C10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</w:t>
            </w:r>
            <w:r>
              <w:rPr>
                <w:b/>
                <w:sz w:val="18"/>
              </w:rPr>
              <w:t>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>, od zaposlenih te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315,99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713,86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225,9</w:t>
            </w:r>
          </w:p>
        </w:tc>
      </w:tr>
    </w:tbl>
    <w:p w:rsidR="004C10B8" w:rsidRDefault="004C10B8">
      <w:pPr>
        <w:spacing w:after="0"/>
      </w:pPr>
    </w:p>
    <w:p w:rsidR="004C10B8" w:rsidRDefault="00BC10D8">
      <w:r>
        <w:t xml:space="preserve">Potraživanja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>, od zaposlenih te za više plaćene poreze i ostalo (šifra 12) povećani su zbog potraživanja za bolovanja na teret HZZZO.</w:t>
      </w:r>
    </w:p>
    <w:p w:rsidR="004C10B8" w:rsidRDefault="004C10B8"/>
    <w:p w:rsidR="004C10B8" w:rsidRDefault="00BC10D8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C10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49.653,03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268.529,96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540,8</w:t>
            </w:r>
          </w:p>
        </w:tc>
      </w:tr>
    </w:tbl>
    <w:p w:rsidR="004C10B8" w:rsidRDefault="004C10B8">
      <w:pPr>
        <w:spacing w:after="0"/>
      </w:pPr>
    </w:p>
    <w:p w:rsidR="004C10B8" w:rsidRDefault="00BC10D8">
      <w:r>
        <w:t>Potraživanja za prihode poslovanja (šifra 16) povećani su za 441 % u odnosu na prošlu godinu. Najveći dio odnosi se na potraživanja za pomoći iz inozemstva i od subjekata unutar općeg proračuna (šifra 163) u iznosu od 188.607,55 EUR, a sastoji se od sljede</w:t>
      </w:r>
      <w:r>
        <w:t xml:space="preserve">ćeg: 92.608,20 EUR za projekt Zaželi, 16.629,84 EUR za prekograničnu suradnju Centra za socijalni rad Orašje i Općine </w:t>
      </w:r>
      <w:proofErr w:type="spellStart"/>
      <w:r>
        <w:t>Vođinci</w:t>
      </w:r>
      <w:proofErr w:type="spellEnd"/>
      <w:r>
        <w:t xml:space="preserve">, 49.994,51 EUR za izgradnju igrališta za djecu u Općini </w:t>
      </w:r>
      <w:proofErr w:type="spellStart"/>
      <w:r>
        <w:t>Vođinci</w:t>
      </w:r>
      <w:proofErr w:type="spellEnd"/>
      <w:r>
        <w:t>, 29.375,00 EUR za e-planove, kao i na</w:t>
      </w:r>
      <w:r>
        <w:t xml:space="preserve"> potraživanja za naknade ko</w:t>
      </w:r>
      <w:r>
        <w:t>je se refundiraju, predujmove, ostali nespomenuti prihod koji čine potraživanja od roditelja za sufinanciranje cijene smještaja djece.</w:t>
      </w:r>
    </w:p>
    <w:p w:rsidR="004C10B8" w:rsidRDefault="004C10B8"/>
    <w:p w:rsidR="004C10B8" w:rsidRDefault="00BC10D8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C10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od</w:t>
            </w:r>
            <w:r>
              <w:rPr>
                <w:sz w:val="18"/>
              </w:rPr>
              <w:t xml:space="preserve"> prodaje nefinancijske imovine (šifre 171 do 174 - 179)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196.492,98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152.365,51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77,5</w:t>
            </w:r>
          </w:p>
        </w:tc>
      </w:tr>
    </w:tbl>
    <w:p w:rsidR="004C10B8" w:rsidRDefault="004C10B8">
      <w:pPr>
        <w:spacing w:after="0"/>
      </w:pPr>
    </w:p>
    <w:p w:rsidR="004C10B8" w:rsidRDefault="00BC10D8">
      <w:r>
        <w:t xml:space="preserve">Potraživanja od prodaje nefinancijske imovine (šifra 17) sastoje se najvećim dijelom od  potraživanja za prodano poljoprivredno zemljište u </w:t>
      </w:r>
      <w:proofErr w:type="spellStart"/>
      <w:r>
        <w:t>vl</w:t>
      </w:r>
      <w:proofErr w:type="spellEnd"/>
      <w:r>
        <w:t>. RH.</w:t>
      </w:r>
    </w:p>
    <w:p w:rsidR="004C10B8" w:rsidRDefault="004C10B8"/>
    <w:p w:rsidR="004C10B8" w:rsidRDefault="00BC10D8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C10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206.795,95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568.313,32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274,8</w:t>
            </w:r>
          </w:p>
        </w:tc>
      </w:tr>
    </w:tbl>
    <w:p w:rsidR="004C10B8" w:rsidRDefault="004C10B8">
      <w:pPr>
        <w:spacing w:after="0"/>
      </w:pPr>
    </w:p>
    <w:p w:rsidR="004C10B8" w:rsidRDefault="00BC10D8">
      <w:r>
        <w:t>Obveze (šifra 2) povećane su za 175 % u odnosu na lani. Najveći dio odnosi se na obveze za nabavu nefinancijske imovine (šifra 24) u iznosu od 242.299,15 EUR.</w:t>
      </w:r>
    </w:p>
    <w:p w:rsidR="004C10B8" w:rsidRDefault="004C10B8"/>
    <w:p w:rsidR="004C10B8" w:rsidRDefault="00BC10D8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C10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naknade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911,63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8081,8</w:t>
            </w:r>
          </w:p>
        </w:tc>
      </w:tr>
    </w:tbl>
    <w:p w:rsidR="004C10B8" w:rsidRDefault="004C10B8">
      <w:pPr>
        <w:spacing w:after="0"/>
      </w:pPr>
    </w:p>
    <w:p w:rsidR="004C10B8" w:rsidRDefault="00BC10D8">
      <w:r>
        <w:t xml:space="preserve">Obveze za naknade građanima i kućanstvima (šifra 237) bilježe povećanje u odnosu na lani, a odnose se na obveze za financiranje škole odbojke u OŠ </w:t>
      </w:r>
      <w:proofErr w:type="spellStart"/>
      <w:r>
        <w:t>Vođinci</w:t>
      </w:r>
      <w:proofErr w:type="spellEnd"/>
      <w:r>
        <w:t xml:space="preserve"> za studeni i prosinac 2025, te prijevoz učenika srednjih škola s područja Općine za mjesec prosinac 2</w:t>
      </w:r>
      <w:r>
        <w:t>025.</w:t>
      </w:r>
    </w:p>
    <w:p w:rsidR="004C10B8" w:rsidRDefault="004C10B8"/>
    <w:p w:rsidR="004C10B8" w:rsidRDefault="00BC10D8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4C10B8" w:rsidRDefault="00BC10D8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C10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4C10B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Kontrolni zbroj (šifre </w:t>
            </w:r>
            <w:r>
              <w:rPr>
                <w:sz w:val="18"/>
              </w:rPr>
              <w:t>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2.117.999,57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2.617.206,20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</w:tbl>
    <w:p w:rsidR="004C10B8" w:rsidRDefault="004C10B8">
      <w:pPr>
        <w:spacing w:after="0"/>
      </w:pPr>
    </w:p>
    <w:p w:rsidR="004C10B8" w:rsidRDefault="00BC10D8">
      <w:r>
        <w:t>Ovaj izvještaj sastavlja se za razdoblje od 01.01. do 31.12.2025. U tom izvještaju klasificiraju se rashodi poslovanja (razred 3) i rashodi za nabavu nefinancijske imovine (razred 4) prema osnovnim funkcijama čiji je sadržaj određen Pravilnikom o proračuns</w:t>
      </w:r>
      <w:r>
        <w:t>kim klasifikacijama. Obrazac RAS-funkcijski treba biti jednak podatku UKUPNI RASHODI (Y345) OBRASCA PR-RAS (2.647.909,05) umanjen za  izdatke za financijsku imovinu i otp</w:t>
      </w:r>
      <w:r>
        <w:t>la</w:t>
      </w:r>
      <w:r>
        <w:t>te zajmova (5) obrasca PR-RAS ( 30.702,85) i iznosi 2.617.206,20 EUR.</w:t>
      </w:r>
    </w:p>
    <w:p w:rsidR="004C10B8" w:rsidRDefault="004C10B8"/>
    <w:p w:rsidR="004C10B8" w:rsidRDefault="00BC10D8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</w:t>
      </w:r>
      <w:r>
        <w:rPr>
          <w:b/>
          <w:sz w:val="28"/>
        </w:rPr>
        <w:t>ijednosti i obujmu imovine i obveza</w:t>
      </w:r>
    </w:p>
    <w:p w:rsidR="004C10B8" w:rsidRDefault="00BC10D8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C10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373.616,00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C10B8" w:rsidRDefault="004C10B8">
      <w:pPr>
        <w:spacing w:after="0"/>
      </w:pPr>
    </w:p>
    <w:p w:rsidR="004C10B8" w:rsidRDefault="00BC10D8">
      <w:r>
        <w:t>Promjene u vrijednosti i obujmu imovine (šifra 9151) u 2025. godini iznose 373.616,00 EUR i to smanjenje, a odnosi se na ispravak vrijednosti proizvedene dugotrajne imovine po obračunu amortizacije u iznosu od 357.426,00 EUR , te smanjenje obujma imovine u</w:t>
      </w:r>
      <w:r>
        <w:t xml:space="preserve"> iznosu od 16.190,00 EUR od čega se 15.148,00 EUR odnosi na proizvedenu dugotrajnu imovinu i sitni inventar te 1.042,00 EUR promjene u obujmu financijske imovine koje se odnosi na otpis potraživanja za kamate za prodaju poljo</w:t>
      </w:r>
      <w:r>
        <w:t>privrednog zemljišta, otpis po</w:t>
      </w:r>
      <w:r>
        <w:t>traživanja za troškove ovrhe te grobnu i komun</w:t>
      </w:r>
      <w:r>
        <w:t>al</w:t>
      </w:r>
      <w:r>
        <w:t xml:space="preserve">nu naknadu te prihode poslovanja od DV Mladost </w:t>
      </w:r>
      <w:proofErr w:type="spellStart"/>
      <w:r>
        <w:t>Vođinci</w:t>
      </w:r>
      <w:proofErr w:type="spellEnd"/>
      <w:r>
        <w:t>.</w:t>
      </w:r>
    </w:p>
    <w:p w:rsidR="004C10B8" w:rsidRDefault="004C10B8"/>
    <w:p w:rsidR="004C10B8" w:rsidRDefault="00BC10D8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4C10B8" w:rsidRDefault="00BC10D8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C10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4C10B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</w:t>
            </w:r>
            <w:r>
              <w:rPr>
                <w:sz w:val="18"/>
              </w:rPr>
              <w:t>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167.979,21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C10B8" w:rsidRDefault="004C10B8">
      <w:pPr>
        <w:spacing w:after="0"/>
      </w:pPr>
    </w:p>
    <w:p w:rsidR="004C10B8" w:rsidRDefault="00BC10D8">
      <w:r>
        <w:t xml:space="preserve">Stanje dospjelih obveza na kraju izvještajnog razdoblja (šifra V007) iznosi 167.979,21 EUR, a odnosi se na sljedeće: obveze za rashode poslovanja u iznosu od 8.601,64 EUR (odvjetničke usluge, računalne usluge, tiskarske usluge, usluge telefona i mobitela, </w:t>
      </w:r>
      <w:r>
        <w:t xml:space="preserve">veterinarske usluge, usluge za školu odbojke, nabava </w:t>
      </w:r>
      <w:proofErr w:type="spellStart"/>
      <w:r>
        <w:t>laptopa</w:t>
      </w:r>
      <w:proofErr w:type="spellEnd"/>
      <w:r>
        <w:t xml:space="preserve"> za vjersku zajednicu, komunalne usluge, energija, materijal za čišćenje i reprezentaciju) te obveze za nabavu nefinancijske imovine u iznosu od 159.377,57 EUR ( usluge stručnog nadzora, usluge re</w:t>
      </w:r>
      <w:r>
        <w:t xml:space="preserve">konstrukcije i izgradnje pješačkih staza u Općini </w:t>
      </w:r>
      <w:proofErr w:type="spellStart"/>
      <w:r>
        <w:t>Vođinci</w:t>
      </w:r>
      <w:proofErr w:type="spellEnd"/>
      <w:r>
        <w:t xml:space="preserve">, nabava koševa i klupa, izgradnja ograde i vrata na groblju, nabava kolica za potrebe pogreba, </w:t>
      </w:r>
      <w:proofErr w:type="spellStart"/>
      <w:r>
        <w:t>fasaderski</w:t>
      </w:r>
      <w:proofErr w:type="spellEnd"/>
      <w:r>
        <w:t xml:space="preserve"> radovi na Lovačkom domu) </w:t>
      </w:r>
    </w:p>
    <w:p w:rsidR="004C10B8" w:rsidRDefault="00BC10D8">
      <w:r>
        <w:t> </w:t>
      </w:r>
    </w:p>
    <w:p w:rsidR="004C10B8" w:rsidRDefault="004C10B8"/>
    <w:p w:rsidR="004C10B8" w:rsidRDefault="00BC10D8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C10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4C10B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4C10B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400.334,11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C10B8" w:rsidRDefault="00BC10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C10B8" w:rsidRDefault="004C10B8">
      <w:pPr>
        <w:spacing w:after="0"/>
      </w:pPr>
    </w:p>
    <w:p w:rsidR="004C10B8" w:rsidRDefault="00BC10D8">
      <w:r>
        <w:t xml:space="preserve">Stanje nedospjelih obveza (šifra V009) iznosi 400.334,11 EUR, a odnosi se na obveze za rashode poslovanja u iznosu od 72.031,65 EUR, obveze za nabavu nefinancijske imovine u iznosu od 82.921,58 EUR, obveze za financijsku imovinu u iznosu od 106.903,28 EUR </w:t>
      </w:r>
      <w:r>
        <w:t xml:space="preserve">i obveze za predujmove u iznosu od 138.477,60 EUR od čega se 123.477,60 EUR odnosi na predujam za projekt "Zaželi IV." faza i obvezu za </w:t>
      </w:r>
      <w:proofErr w:type="spellStart"/>
      <w:r>
        <w:t>jamčevni</w:t>
      </w:r>
      <w:proofErr w:type="spellEnd"/>
      <w:r>
        <w:t xml:space="preserve"> polog u iznosu od 15.000,00 EUR.</w:t>
      </w:r>
    </w:p>
    <w:p w:rsidR="004C10B8" w:rsidRDefault="004C10B8"/>
    <w:p w:rsidR="004C10B8" w:rsidRDefault="00BC10D8">
      <w:pPr>
        <w:keepNext/>
        <w:spacing w:line="240" w:lineRule="auto"/>
        <w:jc w:val="center"/>
      </w:pPr>
      <w:r>
        <w:rPr>
          <w:sz w:val="28"/>
        </w:rPr>
        <w:t>Bilješka 25.</w:t>
      </w:r>
    </w:p>
    <w:p w:rsidR="004C10B8" w:rsidRDefault="00BC10D8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:rsidR="004C10B8" w:rsidRDefault="00BC10D8">
      <w:proofErr w:type="spellStart"/>
      <w:r>
        <w:t>Unutargrupne</w:t>
      </w:r>
      <w:proofErr w:type="spellEnd"/>
      <w:r>
        <w:t xml:space="preserve"> transakcije koje su međusobno eliminirane odnose se na 367/671 prijenose proračunskom korisniku DV Mladost </w:t>
      </w:r>
      <w:proofErr w:type="spellStart"/>
      <w:r>
        <w:t>Vođinci</w:t>
      </w:r>
      <w:proofErr w:type="spellEnd"/>
      <w:r>
        <w:t xml:space="preserve"> za financiranje redovne djelatnosti u iznosu od 243.750,86 EUR, kao i na 167/274 potraživanja korisnika za sredst</w:t>
      </w:r>
      <w:r>
        <w:t>va</w:t>
      </w:r>
      <w:bookmarkStart w:id="0" w:name="_GoBack"/>
      <w:bookmarkEnd w:id="0"/>
      <w:r>
        <w:t xml:space="preserve"> uplaćena u n</w:t>
      </w:r>
      <w:r>
        <w:t>adležni proračun/obveze proračuna za naplaćena sredstva korisnika u iznosu od 33.204,94 EUR.</w:t>
      </w:r>
    </w:p>
    <w:p w:rsidR="004C10B8" w:rsidRDefault="004C10B8"/>
    <w:p w:rsidR="004C10B8" w:rsidRDefault="00BC10D8">
      <w:pPr>
        <w:keepNext/>
        <w:spacing w:line="240" w:lineRule="auto"/>
        <w:jc w:val="center"/>
      </w:pPr>
      <w:r>
        <w:rPr>
          <w:sz w:val="28"/>
        </w:rPr>
        <w:t>Bilješka 26.</w:t>
      </w:r>
    </w:p>
    <w:p w:rsidR="004C10B8" w:rsidRDefault="00BC10D8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:rsidR="004C10B8" w:rsidRDefault="00BC10D8">
      <w:r>
        <w:t xml:space="preserve">Manjak prihoda i primitaka za pokriće u slijedećem </w:t>
      </w:r>
      <w:r>
        <w:t xml:space="preserve">razdoblju (šifra Y006) iznosi 246.234,46 EUR, a sastoji se od manjka prihoda i primitaka za pokriće u slijedećem razdoblju (šifra Y006) od Općine </w:t>
      </w:r>
      <w:proofErr w:type="spellStart"/>
      <w:r>
        <w:t>Vođinci</w:t>
      </w:r>
      <w:proofErr w:type="spellEnd"/>
      <w:r>
        <w:t xml:space="preserve"> u iznosu od 253.515,01 EUR, uvećan za višak prihoda i primitaka raspoloživ u slijedećem razdoblju (šif</w:t>
      </w:r>
      <w:r>
        <w:t xml:space="preserve">ra X006) od DV Mladost </w:t>
      </w:r>
      <w:proofErr w:type="spellStart"/>
      <w:r>
        <w:t>Vođinci</w:t>
      </w:r>
      <w:proofErr w:type="spellEnd"/>
      <w:r>
        <w:t xml:space="preserve"> u iznosu od 7.280,55 EUR.</w:t>
      </w:r>
    </w:p>
    <w:p w:rsidR="004C10B8" w:rsidRDefault="00BC10D8">
      <w:r>
        <w:t>-253.515,01 (šifra Y006) + 7.280,55 (šifra X006) daje -246.234,46 EUR (šifra Y006)</w:t>
      </w:r>
    </w:p>
    <w:p w:rsidR="004C10B8" w:rsidRDefault="004C10B8"/>
    <w:sectPr w:rsidR="004C1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0B8"/>
    <w:rsid w:val="004C10B8"/>
    <w:rsid w:val="00BC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2742</Words>
  <Characters>15634</Characters>
  <Application>Microsoft Office Word</Application>
  <DocSecurity>0</DocSecurity>
  <Lines>130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2</cp:revision>
  <dcterms:created xsi:type="dcterms:W3CDTF">2026-02-18T09:35:00Z</dcterms:created>
  <dcterms:modified xsi:type="dcterms:W3CDTF">2026-02-18T09:35:00Z</dcterms:modified>
</cp:coreProperties>
</file>