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4283bc178774c89"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37404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VOĐINCI</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810.280,96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927.901,72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854.602,90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759.054,85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168.846,87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13.042,43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7.674,30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333.360,21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458.090,20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320.317,78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450.415,90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140,6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359.636,06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15.299,11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11.322,55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PRIMITAKA OD FINANCIJSKE IMOVINE I ZADUŽIVANJA (šifre 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348.313,51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66.744,48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Višak prihoda poslovanja (šifra X001) iznosi 168.846,87 EUR. Manjak prihoda od nefinancijske imovine (šifra Y002) iznosi 450.415,90 EUR. Višak od financijske imovine i zaduživanja (šifra X003) iznosi 348.313,51 EUR. Višak prihoda i primitaka (šifra X005) iznosi 66.744,48 EUR koji umanjen za preneseni manjak prihoda i primitaka u iznosu od 253.515,01 EUR daje manjak prihoda i primitaka za pokriće u sljedećem razdoblju u iznosu od 186.770,53 EUR.</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810.280,96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927.901,72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w:t>
            </w:r>
          </w:p>
        </w:tc>
      </w:tr>
    </w:tbl>
    <w:p>
      <w:pPr>
        <w:spacing w:before="0" w:after="0"/>
      </w:pPr>
    </w:p>
    <w:p>
      <w:r>
        <w:t xml:space="preserve">Prihodi poslovanja (šifra 6) povećani su za 14,50 % u odnosu na prošlu godinu.  Najveći dio odnosi se na pomoći iz inozemstva i od subjekata unutar općeg proračuna u iznosu od 581.532,85 EUR koji čine 63 % ukupnih prihoda. Pomoći izravnanja za decentralizirane funkcije i fiskalnog izravnanja čine 22 % ukupnih prihoda, a odnose se na pomoći za fiskalno izravnanje i fiskalnu održivost dječjih vrtića.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488.562,34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581.532,85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119,0</w:t>
            </w:r>
          </w:p>
        </w:tc>
      </w:tr>
    </w:tbl>
    <w:p>
      <w:pPr>
        <w:spacing w:before="0" w:after="0"/>
      </w:pPr>
    </w:p>
    <w:p>
      <w:r>
        <w:t xml:space="preserve">Pomoći iz inozemstva i od subjekata unutar općeg proračuna (šifra 63) odnose se na tekuće pomoći iz državnog proračuna za projekt "Zaželi", sredstva za fiskalnu održivost dječjih vrtića, pomoći fiskalnog izravnanja, kapitalne pomoći iz državnog proračuna za projekte: Prekogranična suradnja Orašje-Vođinci, izgradnja igrališta za djecu, te kapitalna pomoć od FZOEU za projekt sufinanciranja mjera prilagodbe klimatskim promjenama u svrhu jačanja otpornosti urbanih sredina, a prema ugovoru iz 2023. godine.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854.602,90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759.054,85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88,8</w:t>
            </w:r>
          </w:p>
        </w:tc>
      </w:tr>
    </w:tbl>
    <w:p>
      <w:pPr>
        <w:spacing w:before="0" w:after="0"/>
      </w:pPr>
    </w:p>
    <w:p>
      <w:r>
        <w:t xml:space="preserve">Rashodi poslovanja (šifra 3) smanjeni su za 11,20 % u odnosu na lani. Smanjenje bilježe rashodi za zaposlene indeks 87,10 zbog manjeg broja zaposlenih na teret proračuna (plaća načelnika u ovom periodu ne tereti proračun Općine i odlazak jednog djelatnika u mirovinu).</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4.762,26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15.044,67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315,9</w:t>
            </w:r>
          </w:p>
        </w:tc>
      </w:tr>
    </w:tbl>
    <w:p>
      <w:pPr>
        <w:spacing w:before="0" w:after="0"/>
      </w:pPr>
    </w:p>
    <w:p>
      <w:r>
        <w:t xml:space="preserve">Ostale usluge (šifra 3239) bilježe porast od 215,90 % zbog odrađenih tiskarskih te ostalih nespomenutih usluga od kojih se izdvajaju usluge Plinare istočne Slavonije za priključak plina, usluge Bibliobusa te grafičke usluge oslikavanja murala u Vođincima.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4.854,70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13.211,84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272,1</w:t>
            </w:r>
          </w:p>
        </w:tc>
      </w:tr>
    </w:tbl>
    <w:p>
      <w:pPr>
        <w:spacing w:before="0" w:after="0"/>
      </w:pPr>
    </w:p>
    <w:p>
      <w:r>
        <w:t xml:space="preserve">Ostali nespomenuti rashodi poslovanja (šifra 3299) povećani su za 172,10 % u odnosu na prošlu godinu, a odnose se na troškove proslave Praznika rada, troškove obilježavanja Dana Općine Vođinci, troškove proslave zadnjeg dana škole i sl.</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(šifre 3421 do 3428)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3.731,85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4.510,60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120,9</w:t>
            </w:r>
          </w:p>
        </w:tc>
      </w:tr>
    </w:tbl>
    <w:p>
      <w:pPr>
        <w:spacing w:before="0" w:after="0"/>
      </w:pPr>
    </w:p>
    <w:p>
      <w:r>
        <w:t xml:space="preserve">Kamate za primljene kredite i zajmove (šifra 342) povećane su u odnosu na lani za 20,9 % zbog otplate kamata po kreditu kod Zagrebačke banke kojeg lani nismo imali.</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1.114,03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2.346,70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210,6</w:t>
            </w:r>
          </w:p>
        </w:tc>
      </w:tr>
    </w:tbl>
    <w:p>
      <w:pPr>
        <w:spacing w:before="0" w:after="0"/>
      </w:pPr>
    </w:p>
    <w:p>
      <w:r>
        <w:t xml:space="preserve">Bankarske usluge i usluge platnog prometa (šifra 3431) povećani su za 110,60 % zbog troškova obrade kredita kod Zagrebačke banke i ostalih usluga banke koje prošle godine nismo imali.</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proračunskim korisnicima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106.603,13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164.861,15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154,6</w:t>
            </w:r>
          </w:p>
        </w:tc>
      </w:tr>
    </w:tbl>
    <w:p>
      <w:pPr>
        <w:spacing w:before="0" w:after="0"/>
      </w:pPr>
    </w:p>
    <w:p>
      <w:r>
        <w:t xml:space="preserve">Prijenosi proračunskim korisnicima iz nadležnog proračuna za financiranje rashoda poslovanja (šifra 3672) povećani su za 54,60 % zbog povećanih koeficijenata i osnovica djelatnicama DV Mladost Vođinci.</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na temelju osiguranja i druge naknade (šifre 371+372)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23.565,79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72.296,75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306,8</w:t>
            </w:r>
          </w:p>
        </w:tc>
      </w:tr>
    </w:tbl>
    <w:p>
      <w:pPr>
        <w:spacing w:before="0" w:after="0"/>
      </w:pPr>
    </w:p>
    <w:p>
      <w:r>
        <w:t xml:space="preserve">Naknade građanima i kućanstvima na temelju osiguranja i druge naknade (šifra 37) bilježe znatan porast od 206,80 % u odnosu na prošlu godinu zbog isplaćenih jednokratnih novčanih pomoći za troškove života kroz zimski period za sva kućanstva u Općini Vođinci.</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3.140,02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7.540,07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240,1</w:t>
            </w:r>
          </w:p>
        </w:tc>
      </w:tr>
    </w:tbl>
    <w:p>
      <w:pPr>
        <w:spacing w:before="0" w:after="0"/>
      </w:pPr>
    </w:p>
    <w:p>
      <w:r>
        <w:t xml:space="preserve">Tekuće donacije u naravi (šifra 3812) povećane su za 240,10 % zbog realiziranog projekta u suradnji sa OŠ Vođinci "Naučimo plivati" za učenike nižih razreda osnovne škole.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13.042,43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7.674,30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58,8</w:t>
            </w:r>
          </w:p>
        </w:tc>
      </w:tr>
    </w:tbl>
    <w:p>
      <w:pPr>
        <w:spacing w:before="0" w:after="0"/>
      </w:pPr>
    </w:p>
    <w:p>
      <w:r>
        <w:t xml:space="preserve">Prihodi od prodaje nefinancijske imovine (šifra 7) smanjeni su za 41,20 % zbog manje naplate prodaje poljoprivrednog zemljišta u vlasništvu RH.</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333.360,21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458.090,20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137,4</w:t>
            </w:r>
          </w:p>
        </w:tc>
      </w:tr>
    </w:tbl>
    <w:p>
      <w:pPr>
        <w:spacing w:before="0" w:after="0"/>
      </w:pPr>
    </w:p>
    <w:p>
      <w:r>
        <w:t xml:space="preserve">Rashodi za nabavu nefinancijske imovine (šifra 4) povećani su za 37,40 % u odnosu na prošlu godinu zbog izvođenja radova na izgradnji pješačkih staza (Strossmayerova sjeverna parna strana), pješačko-biciklističke staze ITU, uređenja zgrade Lovačkog doma, nabave dijelova za pumpu za vodu u Kučištima.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359.636,06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Primici od financijske imovine i zaduživanja (šifra 8) realizirani su u iznosu od 359.636,06 EUR , a odnose se na realizirani dio kredita kod Zagrebačke banke za projekt izgradnje vodno-komunalne infrastrukture na području Općine Vođinci te na projekt ITU pješačko-biciklističke staze.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15.299,11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11.322,55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74,0</w:t>
            </w:r>
          </w:p>
        </w:tc>
      </w:tr>
    </w:tbl>
    <w:p>
      <w:pPr>
        <w:spacing w:before="0" w:after="0"/>
      </w:pPr>
    </w:p>
    <w:p>
      <w:r>
        <w:t xml:space="preserve">Izdaci za financijsku imovinu i otplate zajmova (šifra 5) odnose se na otplatu financijskog leasinga za drobilicu.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845.748,57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kraju izvještajnog razdoblja (šifra V006) iznosi 845.748,57 EUR, a sastoji se od 124.043,19 EUR dospjelih i 721.705,38 EUR nedospjelih obveza.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124.043,19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(šifra V007) iznosi 124.043,19 EUR, a odnosi se na neplaćene privremene situacije za gradnju i nadzor pješačkih staza i ITU pješačko-biciklističke staze, usluge odvjetnika, usluge uređenja javnih površina i usluge čišćenje klima uređaja na općinskim objektima. </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721.705,38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nedospjelih obveza na kraju izvještajnog razdoblja (šifra V009) iznosi 721.705,38 EUR, a odnosi se na obveze za rashode poslovanja 82.768,65 EUR, obveze za nabavu nefinancijske imovine 4.490,40 EUR, obveze za financijsku imovinu (obveze za kredit i leasing) 455.216,79 EUR i obveze za predujmove i tuđe prihode 179.229,54 EUR (predujam za projekt Zaželi i obveza za prihod DV Mladost Vođinci).</w:t>
      </w:r>
    </w:p>
    <w:p/>
    <w:p>
      <w:pPr>
        <w:jc w:val="center"/>
        <w:pStyle w:val="Normal"/>
        <w:spacing w:line="240" w:lineRule="auto"/>
        <w:keepNext/>
      </w:pPr>
      <w:r>
        <w:rPr>
          <w:sz w:val="28"/>
          <w:rFonts w:ascii="Times New Roman" w:hAnsi="Times New Roman"/>
        </w:rPr>
        <w:t xml:space="preserve">Bilješka 19.</w:t>
      </w:r>
    </w:p>
    <w:p>
      <w:pPr>
        <w:jc w:val="both"/>
        <w:pStyle w:val="Normal"/>
        <w:spacing w:line="240" w:lineRule="auto"/>
      </w:pPr>
      <w:r>
        <w:rPr>
          <w:b/>
          <w:sz w:val="24"/>
          <w:rFonts w:ascii="Times New Roman" w:hAnsi="Times New Roman"/>
        </w:rPr>
        <w:t xml:space="preserve">EU izvještaj</w:t>
      </w:r>
    </w:p>
    <w:p>
      <w:r>
        <w:t xml:space="preserve">Europski socijalni fond (561) odnosi se na projekt Zaželi. Općina Vođinci ostvarila je 163.784,97 EUR prihoda od pomoći  temeljem prijenosa EU sredstava za projekt Zaželi. Nacionalno sufinanciranje iznosilo je 28.903,23 EUR za 15 % troškova Zaželi. Obveze za EU predujmove dane iz državnog proračuna za projekt Zaželi iznose 123.477,60 EUR. Potraživanje po ugovoru o dodijeljenim bespovratnim sredstvima iz EU fondova iznosi 193.494,27 EUR, dok potraživanje po ugovoru za državna sredstva iznosi 34.146,05 EUR.</w:t>
      </w:r>
    </w:p>
    <w:p>
      <w:r>
        <w:t xml:space="preserve">Europski fond za regionalni razvoj (563)  odnosi se na ITU- izgradnju pješačko-biciklističkih staza na području Općine Vođinci. Ostvareno je 1.031,96 EUR kapitalnih pomoći temeljem prijenosa EU fondova. Ukupno EU sufinanciranje iznosi 123.146,82 EUR, od čega se na dan 30.06.2026. potražuje po ugovoru 120.745,53 EUR. Državna sredstva još uvijek nisu realizirana, a planirana su u iznosu od 341.771,35 EUR.</w:t>
      </w:r>
    </w:p>
    <w:p>
      <w:r>
        <w:t xml:space="preserve">Mehanizam za oporavak i otpornost (581) odnosi se na uplaćena bespovratna sredstva za e-planove Općine Vođinci za 2025. u iznosu od  29.375,00 EUR.</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339684ab1746441a" /></Relationships>
</file>