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Types>
</file>

<file path=_rels/.rels>&#65279;<?xml version="1.0" encoding="utf-8"?><Relationships xmlns="http://schemas.openxmlformats.org/package/2006/relationships"><Relationship Type="http://schemas.openxmlformats.org/officeDocument/2006/relationships/officeDocument" Target="/word/document.xml" Id="R62edeb5f87de402a" /></Relationships>
</file>

<file path=word/document.xml><?xml version="1.0" encoding="utf-8"?>
<w:document xmlns:w="http://schemas.openxmlformats.org/wordprocessingml/2006/main">
  <w:body>
    <w:tbl>
      <w:tblPr>
        <w:tblW w:w="9000" w:type="dxa"/>
        <w:tblBorders>
          <w:top w:val="nil"/>
          <w:bottom w:val="nil"/>
          <w:left w:val="nil"/>
          <w:right w:val="nil"/>
          <w:insideH w:val="nil"/>
          <w:insideV w:val="nil"/>
        </w:tblBorders>
        <w:tblCellSpacing w:w="60" w:type="dxa"/>
        <w:shd w:val="clear" w:color="auto" w:fill="E7F0F9"/>
      </w:tblPr>
      <w:tblGrid>
        <w:gridCol w:w="1200"/>
        <w:gridCol w:w="4500"/>
      </w:tblGrid>
      <w:tr>
        <w:tc>
          <w:tcPr>
            <w:tcW w:w="1200" w:type="pct"/>
            <w:shd w:val="clear" w:color="auto" w:fill="E7F0F9"/>
          </w:tcPr>
          <w:p>
            <w:pPr>
              <w:spacing w:before="0" w:after="0" w:line="240" w:lineRule="auto"/>
              <w:jc w:val="left"/>
            </w:pPr>
            <w:r>
              <w:rPr>
                <w:b/>
              </w:rPr>
              <w:t xml:space="preserve">RKP broj</w:t>
            </w:r>
          </w:p>
        </w:tc>
        <w:tc>
          <w:tcPr>
            <w:shd w:val="clear" w:color="auto" w:fill="E7F0F9"/>
          </w:tcPr>
          <w:p>
            <w:pPr>
              <w:spacing w:before="0" w:after="0" w:line="240" w:lineRule="auto"/>
              <w:jc w:val="left"/>
            </w:pPr>
            <w:r>
              <w:t xml:space="preserve">37404</w:t>
            </w:r>
          </w:p>
        </w:tc>
      </w:tr>
      <w:tr>
        <w:tc>
          <w:tcPr>
            <w:tcW w:w="1200" w:type="pct"/>
            <w:shd w:val="clear" w:color="auto" w:fill="E7F0F9"/>
          </w:tcPr>
          <w:p>
            <w:pPr>
              <w:spacing w:before="0" w:after="0" w:line="240" w:lineRule="auto"/>
              <w:jc w:val="left"/>
            </w:pPr>
            <w:r>
              <w:rPr>
                <w:b/>
              </w:rPr>
              <w:t xml:space="preserve">Naziv obveznika</w:t>
            </w:r>
          </w:p>
        </w:tc>
        <w:tc>
          <w:tcPr>
            <w:shd w:val="clear" w:color="auto" w:fill="E7F0F9"/>
          </w:tcPr>
          <w:p>
            <w:pPr>
              <w:spacing w:before="0" w:after="0" w:line="240" w:lineRule="auto"/>
              <w:jc w:val="left"/>
            </w:pPr>
            <w:r>
              <w:t xml:space="preserve">OPĆINA VOĐINCI</w:t>
            </w:r>
          </w:p>
        </w:tc>
      </w:tr>
      <w:tr>
        <w:tc>
          <w:tcPr>
            <w:tcW w:w="1200" w:type="pct"/>
            <w:shd w:val="clear" w:color="auto" w:fill="E7F0F9"/>
          </w:tcPr>
          <w:p>
            <w:pPr>
              <w:spacing w:before="0" w:after="0" w:line="240" w:lineRule="auto"/>
              <w:jc w:val="left"/>
            </w:pPr>
            <w:r>
              <w:rPr>
                <w:b/>
              </w:rPr>
              <w:t xml:space="preserve">Razina</w:t>
            </w:r>
          </w:p>
        </w:tc>
        <w:tc>
          <w:tcPr>
            <w:shd w:val="clear" w:color="auto" w:fill="E7F0F9"/>
          </w:tcPr>
          <w:p>
            <w:pPr>
              <w:spacing w:before="0" w:after="0" w:line="240" w:lineRule="auto"/>
              <w:jc w:val="left"/>
            </w:pPr>
            <w:r>
              <w:t xml:space="preserve">23</w:t>
            </w:r>
          </w:p>
        </w:tc>
      </w:tr>
    </w:tbl>
    <w:p>
      <w:r>
        <w:br/>
      </w:r>
    </w:p>
    <w:p>
      <w:pPr>
        <w:jc w:val="center"/>
        <w:pStyle w:val="Normal"/>
        <w:spacing w:line="240" w:lineRule="auto"/>
      </w:pPr>
      <w:r>
        <w:rPr>
          <w:b/>
          <w:sz w:val="28"/>
          <w:rFonts w:ascii="Times New Roman" w:hAnsi="Times New Roman"/>
        </w:rPr>
        <w:t xml:space="preserve">BILJEŠKE UZ FINANCIJSKE IZVJEŠTAJE</w:t>
      </w:r>
    </w:p>
    <w:p>
      <w:pPr>
        <w:jc w:val="center"/>
        <w:pStyle w:val="Normal"/>
        <w:spacing w:line="240" w:lineRule="auto"/>
      </w:pPr>
      <w:r>
        <w:rPr>
          <w:b/>
          <w:sz w:val="28"/>
          <w:rFonts w:ascii="Times New Roman" w:hAnsi="Times New Roman"/>
        </w:rPr>
        <w:t xml:space="preserve">ZA RAZDOBLJE</w:t>
      </w:r>
    </w:p>
    <w:p>
      <w:pPr>
        <w:jc w:val="center"/>
        <w:pStyle w:val="Normal"/>
        <w:spacing w:line="240" w:lineRule="auto"/>
      </w:pPr>
      <w:r>
        <w:rPr>
          <w:b/>
          <w:sz w:val="28"/>
          <w:rFonts w:ascii="Times New Roman" w:hAnsi="Times New Roman"/>
        </w:rPr>
        <w:t xml:space="preserve">I - VI 2026.</w:t>
      </w:r>
    </w:p>
    <w:p/>
    <w:p>
      <w:pPr>
        <w:jc w:val="center"/>
        <w:pStyle w:val="Normal"/>
        <w:spacing w:line="240" w:lineRule="auto"/>
        <w:keepNext/>
      </w:pPr>
      <w:r>
        <w:rPr>
          <w:b/>
          <w:sz w:val="28"/>
          <w:rFonts w:ascii="Times New Roman" w:hAnsi="Times New Roman"/>
        </w:rPr>
        <w:t xml:space="preserve">Izvještaj o prihodima i rashodima, primicima i izdacima</w:t>
      </w:r>
    </w:p>
    <w:p>
      <w:pPr>
        <w:jc w:val="center"/>
        <w:pStyle w:val="Normal"/>
        <w:spacing w:line="240" w:lineRule="auto"/>
        <w:keepNext/>
      </w:pPr>
      <w:r>
        <w:rPr>
          <w:sz w:val="28"/>
          <w:rFonts w:ascii="Times New Roman" w:hAnsi="Times New Roman"/>
        </w:rPr>
        <w:t xml:space="preserve">Bilješka 1.</w:t>
      </w:r>
    </w:p>
    <w:tbl>
      <w:tblPr>
        <w:tblBorders>
          <w:top w:val="single" w:color="BABABA" w:sz="12"/>
          <w:bottom w:val="single" w:color="BABABA" w:sz="12"/>
          <w:left w:val="single" w:color="BABABA" w:sz="12"/>
          <w:right w:val="single" w:color="BABABA" w:sz="12"/>
          <w:insideH w:val="single" w:color="BABABA" w:sz="8"/>
          <w:insideV w:val="single" w:color="DADADA" w:sz="8"/>
        </w:tblBorders>
        <w:tblW w:w="0" w:type="auto"/>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PRIHODI POSLOVANJA (šifre 61+62+63+64+65+66+67+68)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852.354,96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975.956,72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114,5</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RASHODI POSLOVANJA (šifre 31+32+34+35+36+37+38)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878.901,95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791.501,47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90,1</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VIŠAK PRIHODA POSLOVANJA (šifre 6-Z005)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X001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184.455,25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Prihodi od prodaje nefinancijske imovine (šifre 71+72+73+74)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13.042,43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7.674,30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58,8</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Rashodi za nabavu nefinancijske imovine (šifre 41+42+43+44+45)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333.570,01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460.193,99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138,0</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MANJAK PRIHODA OD NEFINANCIJSKE IMOVINE (šifre 4-7)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Y002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320.527,58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452.519,69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141,2</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Primici od financijske imovine i zaduživanja (šifre 81+82+83+84+85)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359.636,06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Izdaci za financijsku imovinu i otplate zajmova (šifre 51+52+53+54+55)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15.299,11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11.322,55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74,0</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VIŠAK PRIMITAKA OD FINANCIJSKE IMOVINE I ZADUŽIVANJA (šifre 8-5)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X003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348.313,51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VIŠAK PRIHODA I PRIMITAKA (šifre X678-Y345)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X005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80.249,07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w:t>
            </w:r>
          </w:p>
        </w:tc>
      </w:tr>
    </w:tbl>
    <w:p>
      <w:pPr>
        <w:spacing w:before="0" w:after="0"/>
      </w:pPr>
    </w:p>
    <w:p>
      <w:r>
        <w:t xml:space="preserve">Višak prihoda poslovanja (šifra X001) iznosi 184.455,25 EUR. Manjak prihoda od nefinancijske imovine (šifra Y002) iznosi 452.519,69 EUR. Višak od financijske imovine i zaduživanja (šifra X003) iznosi 348.313,51 EUR. Višak prihoda i primitaka (šifra X005) iznosi 80.249,07 EUR.</w:t>
      </w:r>
      <w:r>
        <w:br/>
      </w:r>
    </w:p>
    <w:p>
      <w:r>
        <w:t xml:space="preserve">Prenesni manjak prihoda i primitaka iznosi 246.234,46 EUR koji uvećan za višak prihoda i primitaka u iznosu od 80.249,07 EUR daje manjak prihoda i primitaka za pokriće u sljedećem razdoblju u iznosu od 165.985,39 EUR.</w:t>
      </w:r>
      <w:r>
        <w:br/>
      </w:r>
      <w:r>
        <w:t xml:space="preserve"> </w:t>
      </w:r>
    </w:p>
    <w:p>
      <w:r>
        <w:br/>
      </w:r>
    </w:p>
    <w:p>
      <w:pPr>
        <w:jc w:val="center"/>
        <w:pStyle w:val="Normal"/>
        <w:spacing w:line="240" w:lineRule="auto"/>
        <w:keepNext/>
      </w:pPr>
      <w:r>
        <w:rPr>
          <w:sz w:val="28"/>
          <w:rFonts w:ascii="Times New Roman" w:hAnsi="Times New Roman"/>
        </w:rPr>
        <w:t xml:space="preserve">Bilješka 2.</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PRIHODI POSLOVANJA (šifre 61+62+63+64+65+66+67+68)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852.354,96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975.956,72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114,5</w:t>
            </w:r>
          </w:p>
        </w:tc>
      </w:tr>
    </w:tbl>
    <w:p>
      <w:pPr>
        <w:spacing w:before="0" w:after="0"/>
      </w:pPr>
    </w:p>
    <w:p>
      <w:r>
        <w:t xml:space="preserve">Prihodi poslovanja (šifra 6) povećani su za 14,50 % u odnosu na prošlu godinu.  Najveći dio odnosi se na pomoći iz inozemstva i od subjekata unutar općeg proračuna u iznosu od 581.532,85 EUR koji čine 60 % ukupnih prihoda. Pomoći izravnanja za decentralizirane funkcije i fiskalnog izravnanja čine 21 % ukupnih prihoda, a odnose se na pomoći za fiskalno izravnanje i fiskalnu održivost dječjih vrtića.</w:t>
      </w:r>
    </w:p>
    <w:p/>
    <w:p>
      <w:pPr>
        <w:jc w:val="center"/>
        <w:pStyle w:val="Normal"/>
        <w:spacing w:line="240" w:lineRule="auto"/>
        <w:keepNext/>
      </w:pPr>
      <w:r>
        <w:rPr>
          <w:sz w:val="28"/>
          <w:rFonts w:ascii="Times New Roman" w:hAnsi="Times New Roman"/>
        </w:rPr>
        <w:t xml:space="preserve">Bilješka 3.</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Pomoći iz inozemstva i od subjekata unutar općeg proračuna (šifre 631+632+633+634+635+636+637+638+639)</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488.562,34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581.532,85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119,0</w:t>
            </w:r>
          </w:p>
        </w:tc>
      </w:tr>
    </w:tbl>
    <w:p>
      <w:pPr>
        <w:spacing w:before="0" w:after="0"/>
      </w:pPr>
    </w:p>
    <w:p>
      <w:r>
        <w:t xml:space="preserve">Pomoći iz inozemstva i od subjekata unutar općeg proračuna (šifra 63) odnose se na tekuće pomoći iz državnog proračuna za projekt "Zaželi", sredstva za fiskalnu održivost dječjih vrtića, pomoći fiskalnog izravnanja, kapitalne pomoći iz državnog proračuna za projekte: Prekogranična suradnja Orašje-Vođinci, izgradnja igrališta za djecu, te kapitalna pomoć od FZOEU za projekt sufinanciranja mjera prilagodbe klimatskim promjenama u svrhu jačanja otpornosti urbanih sredina, a prema ugovoru iz 2023. godine. </w:t>
      </w:r>
    </w:p>
    <w:p/>
    <w:p>
      <w:pPr>
        <w:jc w:val="center"/>
        <w:pStyle w:val="Normal"/>
        <w:spacing w:line="240" w:lineRule="auto"/>
        <w:keepNext/>
      </w:pPr>
      <w:r>
        <w:rPr>
          <w:sz w:val="28"/>
          <w:rFonts w:ascii="Times New Roman" w:hAnsi="Times New Roman"/>
        </w:rPr>
        <w:t xml:space="preserve">Bilješka 4.</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RASHODI POSLOVANJA (šifre 31+32+34+35+36+37+38)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878.901,95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791.501,47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90,1</w:t>
            </w:r>
          </w:p>
        </w:tc>
      </w:tr>
    </w:tbl>
    <w:p>
      <w:pPr>
        <w:spacing w:before="0" w:after="0"/>
      </w:pPr>
    </w:p>
    <w:p>
      <w:r>
        <w:t xml:space="preserve">Rashodi poslovanja (šifra 3) smanjeni su za 9,9 % u odnosu na lani. </w:t>
      </w:r>
    </w:p>
    <w:p/>
    <w:p>
      <w:pPr>
        <w:jc w:val="center"/>
        <w:pStyle w:val="Normal"/>
        <w:spacing w:line="240" w:lineRule="auto"/>
        <w:keepNext/>
      </w:pPr>
      <w:r>
        <w:rPr>
          <w:sz w:val="28"/>
          <w:rFonts w:ascii="Times New Roman" w:hAnsi="Times New Roman"/>
        </w:rPr>
        <w:t xml:space="preserve">Bilješka 5.</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Rashodi za zaposlene (šifre 311+312+313)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359.559,34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390.501,54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108,6</w:t>
            </w:r>
          </w:p>
        </w:tc>
      </w:tr>
    </w:tbl>
    <w:p>
      <w:pPr>
        <w:spacing w:before="0" w:after="0"/>
      </w:pPr>
    </w:p>
    <w:p>
      <w:r>
        <w:t xml:space="preserve">Rashodi za zaposlene (šifra 31) bilježe porast od 8,6 % zbog povećanja koeficijenata i osnovice djelatnicama DV Mladost Vođinci.</w:t>
      </w:r>
    </w:p>
    <w:p/>
    <w:p>
      <w:pPr>
        <w:jc w:val="center"/>
        <w:pStyle w:val="Normal"/>
        <w:spacing w:line="240" w:lineRule="auto"/>
        <w:keepNext/>
      </w:pPr>
      <w:r>
        <w:rPr>
          <w:sz w:val="28"/>
          <w:rFonts w:ascii="Times New Roman" w:hAnsi="Times New Roman"/>
        </w:rPr>
        <w:t xml:space="preserve">Bilješka 6.</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3239</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Ostale usluge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5.082,30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16.328,92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321,3</w:t>
            </w:r>
          </w:p>
        </w:tc>
      </w:tr>
    </w:tbl>
    <w:p>
      <w:pPr>
        <w:spacing w:before="0" w:after="0"/>
      </w:pPr>
    </w:p>
    <w:p>
      <w:r>
        <w:t xml:space="preserve">Ostale usluge (šifra 3239) bilježe porast od 221,30 % zbog odrađenih tiskarskih te ostalih nespomenutih usluga od kojih se izdvajaju usluge Plinare istočne Slavonije za priključak plina, usluge Bibliobusa te grafičke usluge oslikavanja murala u Vođincima te odrađenih usluga za potrebe DV Mladost Vođinci (prijevoz djece, usluge ozvučenja za potrebe priredbi).</w:t>
      </w:r>
    </w:p>
    <w:p/>
    <w:p>
      <w:pPr>
        <w:jc w:val="center"/>
        <w:pStyle w:val="Normal"/>
        <w:spacing w:line="240" w:lineRule="auto"/>
        <w:keepNext/>
      </w:pPr>
      <w:r>
        <w:rPr>
          <w:sz w:val="28"/>
          <w:rFonts w:ascii="Times New Roman" w:hAnsi="Times New Roman"/>
        </w:rPr>
        <w:t xml:space="preserve">Bilješka 7.</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3299</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Ostali nespomenuti rashodi poslovanja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3299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4.856,06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13.211,84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272,1</w:t>
            </w:r>
          </w:p>
        </w:tc>
      </w:tr>
    </w:tbl>
    <w:p>
      <w:pPr>
        <w:spacing w:before="0" w:after="0"/>
      </w:pPr>
    </w:p>
    <w:p>
      <w:r>
        <w:t xml:space="preserve">Ostali nespomenuti rashodi poslovanja (šifra 3299) povećani su za 172,10 % u odnosu na prošlu godinu, a odnose se na troškove proslave Praznika rada, troškove obilježavanja Dana Općine Vođinci, troškove proslave zadnjeg dana škole i sl.</w:t>
      </w:r>
    </w:p>
    <w:p/>
    <w:p>
      <w:pPr>
        <w:jc w:val="center"/>
        <w:pStyle w:val="Normal"/>
        <w:spacing w:line="240" w:lineRule="auto"/>
        <w:keepNext/>
      </w:pPr>
      <w:r>
        <w:rPr>
          <w:sz w:val="28"/>
          <w:rFonts w:ascii="Times New Roman" w:hAnsi="Times New Roman"/>
        </w:rPr>
        <w:t xml:space="preserve">Bilješka 8.</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342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Kamate za primljene kredite i zajmove (šifre 3421 do 3428)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342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3.731,85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4.510,60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120,9</w:t>
            </w:r>
          </w:p>
        </w:tc>
      </w:tr>
    </w:tbl>
    <w:p>
      <w:pPr>
        <w:spacing w:before="0" w:after="0"/>
      </w:pPr>
    </w:p>
    <w:p>
      <w:r>
        <w:t xml:space="preserve">Kamate za primljene kredite i zajmove (šifra 342) povećane su u odnosu na lani za 20,9 % zbog otplate kamata po kreditu kod Zagrebačke banke kojeg lani nismo imali.</w:t>
      </w:r>
    </w:p>
    <w:p/>
    <w:p>
      <w:pPr>
        <w:jc w:val="center"/>
        <w:pStyle w:val="Normal"/>
        <w:spacing w:line="240" w:lineRule="auto"/>
        <w:keepNext/>
      </w:pPr>
      <w:r>
        <w:rPr>
          <w:sz w:val="28"/>
          <w:rFonts w:ascii="Times New Roman" w:hAnsi="Times New Roman"/>
        </w:rPr>
        <w:t xml:space="preserve">Bilješka 9.</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3431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Bankarske usluge i usluge platnog prometa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3431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1.114,03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2.346,70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210,6</w:t>
            </w:r>
          </w:p>
        </w:tc>
      </w:tr>
    </w:tbl>
    <w:p>
      <w:pPr>
        <w:spacing w:before="0" w:after="0"/>
      </w:pPr>
    </w:p>
    <w:p>
      <w:r>
        <w:t xml:space="preserve">Bankarske usluge i usluge platnog prometa (šifra 3431) povećani su za 110,60 % zbog troškova obrade kredita kod Zagrebačke banke i ostalih usluga banke koje prošle godine nismo imali.</w:t>
      </w:r>
    </w:p>
    <w:p/>
    <w:p>
      <w:pPr>
        <w:jc w:val="center"/>
        <w:pStyle w:val="Normal"/>
        <w:spacing w:line="240" w:lineRule="auto"/>
        <w:keepNext/>
      </w:pPr>
      <w:r>
        <w:rPr>
          <w:sz w:val="28"/>
          <w:rFonts w:ascii="Times New Roman" w:hAnsi="Times New Roman"/>
        </w:rPr>
        <w:t xml:space="preserve">Bilješka 10.</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Naknade građanima i kućanstvima na temelju osiguranja i druge naknade (šifre 371+372)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23.565,79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72.296,75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306,8</w:t>
            </w:r>
          </w:p>
        </w:tc>
      </w:tr>
    </w:tbl>
    <w:p>
      <w:pPr>
        <w:spacing w:before="0" w:after="0"/>
      </w:pPr>
    </w:p>
    <w:p>
      <w:r>
        <w:t xml:space="preserve">Naknade građanima i kućanstvima na temelju osiguranja i druge naknade (šifra 37) bilježe znatan porast od 206,80 % u odnosu na prošlu godinu zbog isplaćenih jednokratnih novčanih pomoći za troškove života kroz zimski period za sva kućanstva u Općini Vođinci.</w:t>
      </w:r>
    </w:p>
    <w:p/>
    <w:p>
      <w:pPr>
        <w:jc w:val="center"/>
        <w:pStyle w:val="Normal"/>
        <w:spacing w:line="240" w:lineRule="auto"/>
        <w:keepNext/>
      </w:pPr>
      <w:r>
        <w:rPr>
          <w:sz w:val="28"/>
          <w:rFonts w:ascii="Times New Roman" w:hAnsi="Times New Roman"/>
        </w:rPr>
        <w:t xml:space="preserve">Bilješka 11.</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3812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Tekuće donacije u naravi</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3812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3.140,02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7.540,07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240,1</w:t>
            </w:r>
          </w:p>
        </w:tc>
      </w:tr>
    </w:tbl>
    <w:p>
      <w:pPr>
        <w:spacing w:before="0" w:after="0"/>
      </w:pPr>
    </w:p>
    <w:p>
      <w:r>
        <w:t xml:space="preserve">Tekuće donacije u naravi (šifra 3812) povećane su za 240,10 % zbog realiziranog projekta u suradnji sa OŠ Vođinci "Naučimo plivati" za učenike nižih razreda osnovne škole.</w:t>
      </w:r>
    </w:p>
    <w:p/>
    <w:p>
      <w:pPr>
        <w:jc w:val="center"/>
        <w:pStyle w:val="Normal"/>
        <w:spacing w:line="240" w:lineRule="auto"/>
        <w:keepNext/>
      </w:pPr>
      <w:r>
        <w:rPr>
          <w:sz w:val="28"/>
          <w:rFonts w:ascii="Times New Roman" w:hAnsi="Times New Roman"/>
        </w:rPr>
        <w:t xml:space="preserve">Bilješka 12.</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Prihodi od prodaje nefinancijske imovine (šifre 71+72+73+74)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13.042,43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7.674,30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58,8</w:t>
            </w:r>
          </w:p>
        </w:tc>
      </w:tr>
    </w:tbl>
    <w:p>
      <w:pPr>
        <w:spacing w:before="0" w:after="0"/>
      </w:pPr>
    </w:p>
    <w:p>
      <w:r>
        <w:t xml:space="preserve">Prihodi od prodaje nefinancijske imovine (šifra 7) smanjeni su za 41,20 % zbog manje naplate prodaje poljoprivrednog zemljišta u vlasništvu RH.</w:t>
      </w:r>
    </w:p>
    <w:p/>
    <w:p>
      <w:pPr>
        <w:jc w:val="center"/>
        <w:pStyle w:val="Normal"/>
        <w:spacing w:line="240" w:lineRule="auto"/>
        <w:keepNext/>
      </w:pPr>
      <w:r>
        <w:rPr>
          <w:sz w:val="28"/>
          <w:rFonts w:ascii="Times New Roman" w:hAnsi="Times New Roman"/>
        </w:rPr>
        <w:t xml:space="preserve">Bilješka 13.</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Rashodi za nabavu nefinancijske imovine (šifre 41+42+43+44+45)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333.570,01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460.193,99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138,0</w:t>
            </w:r>
          </w:p>
        </w:tc>
      </w:tr>
    </w:tbl>
    <w:p>
      <w:pPr>
        <w:spacing w:before="0" w:after="0"/>
      </w:pPr>
    </w:p>
    <w:p>
      <w:r>
        <w:t xml:space="preserve">Rashodi za nabavu nefinancijske imovine (šifra 4) povećani su za 38 % u odnosu na prošlu godinu zbog izvođenja radova na izgradnji pješačkih staza (Strossmayerova sjeverna parna strana), pješačko-biciklističke staze ITU, uređenja zgrade Lovačkog doma, nabave dijelova za pumpu za vodu u Kučištima te nabave opreme i uređaja za potrebe rada DV mladost Vođinci.</w:t>
      </w:r>
    </w:p>
    <w:p/>
    <w:p>
      <w:pPr>
        <w:jc w:val="center"/>
        <w:pStyle w:val="Normal"/>
        <w:spacing w:line="240" w:lineRule="auto"/>
        <w:keepNext/>
      </w:pPr>
      <w:r>
        <w:rPr>
          <w:sz w:val="28"/>
          <w:rFonts w:ascii="Times New Roman" w:hAnsi="Times New Roman"/>
        </w:rPr>
        <w:t xml:space="preserve">Bilješka 14.</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Primici od financijske imovine i zaduživanja (šifre 81+82+83+84+85)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359.636,06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Primici od financijske imovine i zaduživanja (šifra 8) realizirani su u iznosu od 359.636,06 EUR , a odnose se na realizirani dio kredita kod Zagrebačke banke za projekt izgradnje vodno-komunalne infrastrukture na području Općine Vođinci te na projekt ITU pješačko-biciklističke staze. </w:t>
      </w:r>
    </w:p>
    <w:p/>
    <w:p>
      <w:pPr>
        <w:jc w:val="center"/>
        <w:pStyle w:val="Normal"/>
        <w:spacing w:line="240" w:lineRule="auto"/>
        <w:keepNext/>
      </w:pPr>
      <w:r>
        <w:rPr>
          <w:sz w:val="28"/>
          <w:rFonts w:ascii="Times New Roman" w:hAnsi="Times New Roman"/>
        </w:rPr>
        <w:t xml:space="preserve">Bilješka 15.</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Izdaci za financijsku imovinu i otplate zajmova (šifre 51+52+53+54+55)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15.299,11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11.322,55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74,0</w:t>
            </w:r>
          </w:p>
        </w:tc>
      </w:tr>
    </w:tbl>
    <w:p>
      <w:pPr>
        <w:spacing w:before="0" w:after="0"/>
      </w:pPr>
    </w:p>
    <w:p>
      <w:r>
        <w:t xml:space="preserve">Izdaci za financijsku imovinu i otplate zajmova (šifra 5) odnose se na otplatu financijskog leasinga za drobilicu.</w:t>
      </w:r>
    </w:p>
    <w:p/>
    <w:p>
      <w:pPr>
        <w:jc w:val="center"/>
        <w:pStyle w:val="Normal"/>
        <w:spacing w:line="240" w:lineRule="auto"/>
        <w:keepNext/>
      </w:pPr>
      <w:r>
        <w:rPr>
          <w:b/>
          <w:sz w:val="28"/>
          <w:rFonts w:ascii="Times New Roman" w:hAnsi="Times New Roman"/>
        </w:rPr>
        <w:t xml:space="preserve">Izvještaj o obvezama</w:t>
      </w:r>
    </w:p>
    <w:p>
      <w:pPr>
        <w:jc w:val="center"/>
        <w:pStyle w:val="Normal"/>
        <w:spacing w:line="240" w:lineRule="auto"/>
        <w:keepNext/>
      </w:pPr>
      <w:r>
        <w:rPr>
          <w:sz w:val="28"/>
          <w:rFonts w:ascii="Times New Roman" w:hAnsi="Times New Roman"/>
        </w:rPr>
        <w:t xml:space="preserve">Bilješka 16.</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Iznos</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Stanje obveza na kraju izvještajnog razdoblja (šifre V001+V002-V004) i (šifre V007+V009)</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V006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882.228,41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Stanje obveza na kraju izvještajnog razdoblja (šifra V006) iznosi 882.228,41 EUR, a sastoji se od 124.043,19 EUR dospjelih i  758.185,22</w:t>
      </w:r>
      <w:r>
        <w:br/>
      </w:r>
      <w:r>
        <w:t xml:space="preserve"> EUR nedospjelih obveza.</w:t>
      </w:r>
    </w:p>
    <w:p/>
    <w:p>
      <w:pPr>
        <w:jc w:val="center"/>
        <w:pStyle w:val="Normal"/>
        <w:spacing w:line="240" w:lineRule="auto"/>
        <w:keepNext/>
      </w:pPr>
      <w:r>
        <w:rPr>
          <w:sz w:val="28"/>
          <w:rFonts w:ascii="Times New Roman" w:hAnsi="Times New Roman"/>
        </w:rPr>
        <w:t xml:space="preserve">Bilješka 17.</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Iznos</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Stanje dospjelih obveza na kraju izvještajnog razdoblja (šifre V008+D23+D24 + 'D dio 25,26' + D27)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V007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124.043,19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Stanje dospjelih obveza na kraju izvještajnog razdoblja (šifra V007) iznosi 124.043,19 EUR, a odnosi se na neplaćene privremene situacije za gradnju i nadzor pješačkih staza i ITU pješačko-biciklističke staze, usluge odvjetnika, usluge uređenja javnih površina i usluge čišćenje klima uređaja na općinskim objektima. </w:t>
      </w:r>
    </w:p>
    <w:p/>
    <w:p>
      <w:pPr>
        <w:jc w:val="center"/>
        <w:pStyle w:val="Normal"/>
        <w:spacing w:line="240" w:lineRule="auto"/>
        <w:keepNext/>
      </w:pPr>
      <w:r>
        <w:rPr>
          <w:sz w:val="28"/>
          <w:rFonts w:ascii="Times New Roman" w:hAnsi="Times New Roman"/>
        </w:rPr>
        <w:t xml:space="preserve">Bilješka 18.</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Iznos</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Stanje nedospjelih obveza na kraju izvještajnog razdoblja (šifre V010 + ND23 + ND24 + 'ND dio 25,26' + ND27)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V009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758.185,22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Stanje nedospjelih obveza na kraju izvještajnog razdoblja (šifra V009) iznosi 758.185,22 EUR, a odnosi se na obveze za rashode poslovanja 119.248,49 EUR, obveze za nabavu nefinancijske imovine 4.490,40 EUR, obveze za financijsku imovinu (obveze za kredit i leasing) 455.216,79 EUR i obveze za predujmove i tuđe prihode 179.229,54 EUR (predujam za projekt Zaželi i obveza za prihod DV Mladost Vođinci).</w:t>
      </w:r>
    </w:p>
    <w:p/>
    <w:p>
      <w:pPr>
        <w:jc w:val="center"/>
        <w:pStyle w:val="Normal"/>
        <w:spacing w:line="240" w:lineRule="auto"/>
        <w:keepNext/>
      </w:pPr>
      <w:r>
        <w:rPr>
          <w:sz w:val="28"/>
          <w:rFonts w:ascii="Times New Roman" w:hAnsi="Times New Roman"/>
        </w:rPr>
        <w:t xml:space="preserve">Bilješka 19.</w:t>
      </w:r>
    </w:p>
    <w:p>
      <w:pPr>
        <w:jc w:val="both"/>
        <w:pStyle w:val="Normal"/>
        <w:spacing w:line="240" w:lineRule="auto"/>
      </w:pPr>
      <w:r>
        <w:rPr>
          <w:b/>
          <w:sz w:val="24"/>
          <w:rFonts w:ascii="Times New Roman" w:hAnsi="Times New Roman"/>
        </w:rPr>
        <w:t xml:space="preserve">Unutargrupne transakcije koje su u izvještajima eliminirane</w:t>
      </w:r>
    </w:p>
    <w:p>
      <w:r>
        <w:t xml:space="preserve">Prihodi iz proračuna Općine Vođinci za financiranje redovne djelatnosti proračunskog korisnika DV Mladost Vođinci 671 u iznosu od 164.861,15 EUR eliminira se prijenosom proračunskom korisniku DV Mladost Vođinci iz proračuna Općine Vođinci za financiranje redovne djelatnosti 367 u iznosu od 164.861,15 EUR.</w:t>
      </w:r>
    </w:p>
    <w:p/>
    <w:p>
      <w:pPr>
        <w:jc w:val="center"/>
        <w:pStyle w:val="Normal"/>
        <w:spacing w:line="240" w:lineRule="auto"/>
        <w:keepNext/>
      </w:pPr>
      <w:r>
        <w:rPr>
          <w:sz w:val="28"/>
          <w:rFonts w:ascii="Times New Roman" w:hAnsi="Times New Roman"/>
        </w:rPr>
        <w:t xml:space="preserve">Bilješka 20.</w:t>
      </w:r>
    </w:p>
    <w:p>
      <w:pPr>
        <w:jc w:val="both"/>
        <w:pStyle w:val="Normal"/>
        <w:spacing w:line="240" w:lineRule="auto"/>
      </w:pPr>
      <w:r>
        <w:rPr>
          <w:b/>
          <w:sz w:val="24"/>
          <w:rFonts w:ascii="Times New Roman" w:hAnsi="Times New Roman"/>
        </w:rPr>
        <w:t xml:space="preserve">Manjak ili višak u poslovanju grupe i pregled strukture manjka/viška po proračunskim korisnicima </w:t>
      </w:r>
    </w:p>
    <w:p>
      <w:r>
        <w:t xml:space="preserve">Preneseni manjak prihoda i primitaka iznosi 246.234,46 EUR koji uvećan za višak prihoda i primitaka u iznosu od 80.249,07 EUR daje manjak prihoda i primitaka za pokriće u sljedećem razdoblju u iznosu od 165.985,39 EUR.</w:t>
      </w:r>
    </w:p>
    <w:p>
      <w:r>
        <w:t xml:space="preserve">Manjak prihoda i primitaka za pokriće u sljedećem razdoblju u iznosu od 165.985,39 EUR rezultat je manjka prihoda i primitaka za pokriće u sljedećem razdoblju Općine Vođinci u iznosu od 186.770,53 EUR i viška prihoda i primitaka raspoloživog u sljedećem razdoblju DV Mladost Vođinci u iznosu od 20.785,14 EUR.</w:t>
      </w:r>
    </w:p>
    <w:p/>
  </w:body>
</w:document>
</file>

<file path=word/styles.xml><?xml version="1.0" encoding="utf-8"?>
<w:styles xmlns:w="http://schemas.openxmlformats.org/wordprocessingml/2006/main">
  <w:docDefaults>
    <w:rPrDefault>
      <w:rPr>
        <w:rFonts w:ascii="Times New Roman" w:hAnsi="Times New Roman"/>
        <w:sz w:val="24"/>
      </w:rPr>
    </w:rPrDefault>
  </w:docDefaults>
  <w:style w:type="paragraph" w:styleId="Normal" w:default="true">
    <w:name w:val="Normal"/>
    <w:rPr>
      <w:rFonts w:ascii="Times New Roman" w:hAnsi="Times New Roman"/>
      <w:sz w:val="24"/>
    </w:rPr>
  </w:style>
</w:styles>
</file>

<file path=word/_rels/document.xml.rels>&#65279;<?xml version="1.0" encoding="utf-8"?><Relationships xmlns="http://schemas.openxmlformats.org/package/2006/relationships"><Relationship Type="http://schemas.openxmlformats.org/officeDocument/2006/relationships/styles" Target="/word/styles.xml" Id="R89da7fc6a11b41e0" /></Relationships>
</file>